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79C9C208"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1B07A0">
        <w:rPr>
          <w:rFonts w:cs="Arial"/>
          <w:szCs w:val="22"/>
        </w:rPr>
        <w:t>2</w:t>
      </w:r>
      <w:r w:rsidR="00D1775A" w:rsidRPr="00CA2A40">
        <w:rPr>
          <w:rFonts w:cs="Arial"/>
          <w:szCs w:val="22"/>
        </w:rPr>
        <w:t xml:space="preserve">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64010B" w:rsidRPr="0064010B">
        <w:rPr>
          <w:szCs w:val="22"/>
        </w:rPr>
        <w:t>R4-2412575</w:t>
      </w:r>
      <w:bookmarkStart w:id="2" w:name="_GoBack"/>
      <w:bookmarkEnd w:id="2"/>
    </w:p>
    <w:p w14:paraId="1DC1B158" w14:textId="7F28AFE2" w:rsidR="00675C27" w:rsidRPr="00CA2A40" w:rsidRDefault="001B07A0" w:rsidP="00F71A33">
      <w:pPr>
        <w:pStyle w:val="afb"/>
        <w:rPr>
          <w:rFonts w:eastAsia="宋体"/>
          <w:szCs w:val="22"/>
          <w:lang w:eastAsia="zh-CN"/>
        </w:rPr>
      </w:pPr>
      <w:r>
        <w:rPr>
          <w:rFonts w:cs="Arial"/>
          <w:szCs w:val="22"/>
        </w:rPr>
        <w:t>Maastricht</w:t>
      </w:r>
      <w:r w:rsidR="002F1109" w:rsidRPr="00CA2A40">
        <w:rPr>
          <w:rFonts w:cs="Arial"/>
          <w:szCs w:val="22"/>
        </w:rPr>
        <w:t xml:space="preserve">, </w:t>
      </w:r>
      <w:r>
        <w:rPr>
          <w:rFonts w:cs="Arial"/>
          <w:szCs w:val="22"/>
        </w:rPr>
        <w:t>Netherland</w:t>
      </w:r>
      <w:r w:rsidR="00CF1F58">
        <w:rPr>
          <w:rFonts w:cs="Arial"/>
          <w:szCs w:val="22"/>
        </w:rPr>
        <w:t>s</w:t>
      </w:r>
      <w:r w:rsidR="002F1109" w:rsidRPr="00CA2A40">
        <w:rPr>
          <w:rFonts w:cs="Arial"/>
          <w:szCs w:val="22"/>
        </w:rPr>
        <w:t xml:space="preserve">, </w:t>
      </w:r>
      <w:r>
        <w:rPr>
          <w:rFonts w:cs="Arial"/>
          <w:szCs w:val="22"/>
        </w:rPr>
        <w:t>August</w:t>
      </w:r>
      <w:r w:rsidR="002F1109" w:rsidRPr="00CA2A40">
        <w:rPr>
          <w:rFonts w:cs="Arial"/>
          <w:szCs w:val="22"/>
        </w:rPr>
        <w:t xml:space="preserve"> </w:t>
      </w:r>
      <w:r>
        <w:rPr>
          <w:rFonts w:cs="Arial"/>
          <w:szCs w:val="22"/>
        </w:rPr>
        <w:t>19 - 23</w:t>
      </w:r>
      <w:r w:rsidR="002F1109"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CD1D3F6"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w:t>
      </w:r>
      <w:r w:rsidR="00A92664">
        <w:rPr>
          <w:rFonts w:ascii="Arial" w:hAnsi="Arial" w:cs="Arial"/>
          <w:sz w:val="22"/>
          <w:szCs w:val="22"/>
        </w:rPr>
        <w:t>RF requirements for Rel-19 NR-MIMO</w:t>
      </w:r>
    </w:p>
    <w:p w14:paraId="4FD55D83" w14:textId="5FE691C0"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13904">
        <w:rPr>
          <w:rFonts w:ascii="Arial" w:hAnsi="Arial" w:cs="Arial"/>
          <w:sz w:val="22"/>
          <w:szCs w:val="22"/>
        </w:rPr>
        <w:t>8</w:t>
      </w:r>
      <w:r w:rsidR="00A92664">
        <w:rPr>
          <w:rFonts w:ascii="Arial" w:hAnsi="Arial" w:cs="Arial"/>
          <w:sz w:val="22"/>
          <w:szCs w:val="22"/>
        </w:rPr>
        <w:t>.</w:t>
      </w:r>
      <w:r w:rsidR="00613904">
        <w:rPr>
          <w:rFonts w:ascii="Arial" w:hAnsi="Arial" w:cs="Arial"/>
          <w:sz w:val="22"/>
          <w:szCs w:val="22"/>
        </w:rPr>
        <w:t>18</w:t>
      </w:r>
      <w:r w:rsidR="00A92664">
        <w:rPr>
          <w:rFonts w:ascii="Arial" w:hAnsi="Arial" w:cs="Arial"/>
          <w:sz w:val="22"/>
          <w:szCs w:val="22"/>
        </w:rPr>
        <w:t>.</w:t>
      </w:r>
      <w:r w:rsidR="00613904">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4C57BF70" w14:textId="77777777" w:rsidR="00DB2DD2" w:rsidRDefault="00CC2C4F" w:rsidP="00AB1467">
      <w:pPr>
        <w:jc w:val="both"/>
      </w:pPr>
      <w:r>
        <w:t>For this RAN1 leading WI</w:t>
      </w:r>
      <w:r w:rsidR="008965B4">
        <w:t xml:space="preserve"> NR_MIMO_Ph5</w:t>
      </w:r>
      <w:r>
        <w:t>, this</w:t>
      </w:r>
      <w:r w:rsidR="008965B4">
        <w:t xml:space="preserve"> </w:t>
      </w:r>
      <w:r>
        <w:t>is the first RAN4 meeting according to the TU allocation [</w:t>
      </w:r>
      <w:r w:rsidR="008965B4">
        <w:t>1</w:t>
      </w:r>
      <w:r>
        <w:t xml:space="preserve">]. </w:t>
      </w:r>
      <w:r w:rsidR="00E02006">
        <w:t xml:space="preserve">RAN4 is tasked to </w:t>
      </w:r>
      <w:r w:rsidR="00DB2DD2">
        <w:t>identify potential specification impact.</w:t>
      </w:r>
    </w:p>
    <w:tbl>
      <w:tblPr>
        <w:tblStyle w:val="af8"/>
        <w:tblW w:w="0" w:type="auto"/>
        <w:tblLook w:val="04A0" w:firstRow="1" w:lastRow="0" w:firstColumn="1" w:lastColumn="0" w:noHBand="0" w:noVBand="1"/>
      </w:tblPr>
      <w:tblGrid>
        <w:gridCol w:w="9631"/>
      </w:tblGrid>
      <w:tr w:rsidR="00DB2DD2" w14:paraId="4667F8A3" w14:textId="77777777" w:rsidTr="00DB2DD2">
        <w:tc>
          <w:tcPr>
            <w:tcW w:w="9631" w:type="dxa"/>
          </w:tcPr>
          <w:p w14:paraId="52E1CF93" w14:textId="77777777" w:rsidR="001B73F6" w:rsidRPr="0050675F" w:rsidRDefault="001B73F6" w:rsidP="001B73F6">
            <w:pPr>
              <w:snapToGrid w:val="0"/>
              <w:spacing w:beforeLines="50" w:before="120" w:after="0"/>
              <w:jc w:val="both"/>
              <w:rPr>
                <w:bCs/>
                <w:lang w:val="en-US"/>
              </w:rPr>
            </w:pPr>
            <w:r w:rsidRPr="0050675F">
              <w:rPr>
                <w:bCs/>
                <w:lang w:val="en-US"/>
              </w:rPr>
              <w:t>The detailed objectives are as follows:</w:t>
            </w:r>
          </w:p>
          <w:p w14:paraId="3BE50987" w14:textId="77777777" w:rsidR="001B73F6" w:rsidRPr="00F9630A" w:rsidRDefault="001B73F6" w:rsidP="001B73F6">
            <w:pPr>
              <w:snapToGrid w:val="0"/>
              <w:spacing w:beforeLines="50" w:before="120" w:after="0"/>
              <w:jc w:val="both"/>
              <w:rPr>
                <w:b/>
                <w:bCs/>
                <w:lang w:val="en-US"/>
              </w:rPr>
            </w:pPr>
            <w:r w:rsidRPr="00F9630A">
              <w:rPr>
                <w:rFonts w:hint="eastAsia"/>
                <w:b/>
                <w:bCs/>
                <w:lang w:val="en-US"/>
              </w:rPr>
              <w:t>RAN1:</w:t>
            </w:r>
          </w:p>
          <w:p w14:paraId="5CAB52B0" w14:textId="77777777" w:rsidR="001B73F6" w:rsidRPr="000D100E" w:rsidRDefault="001B73F6" w:rsidP="001B73F6">
            <w:pPr>
              <w:numPr>
                <w:ilvl w:val="0"/>
                <w:numId w:val="44"/>
              </w:numPr>
              <w:overflowPunct/>
              <w:autoSpaceDE/>
              <w:autoSpaceDN/>
              <w:adjustRightInd/>
              <w:snapToGrid w:val="0"/>
              <w:spacing w:after="0"/>
              <w:textAlignment w:val="auto"/>
              <w:rPr>
                <w:rFonts w:eastAsia="Times New Roman"/>
                <w:szCs w:val="24"/>
                <w:lang w:val="en-US" w:eastAsia="en-US"/>
              </w:rPr>
            </w:pPr>
            <w:bookmarkStart w:id="3" w:name="_Hlk145555364"/>
            <w:bookmarkStart w:id="4" w:name="_Hlk146642115"/>
            <w:r w:rsidRPr="000D100E">
              <w:rPr>
                <w:rFonts w:eastAsia="Times New Roman"/>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 with intra- and inter-cell beam management</w:t>
            </w:r>
          </w:p>
          <w:p w14:paraId="33901131" w14:textId="77777777" w:rsidR="001B73F6" w:rsidRPr="000D100E" w:rsidRDefault="001B73F6" w:rsidP="001B73F6">
            <w:pPr>
              <w:numPr>
                <w:ilvl w:val="1"/>
                <w:numId w:val="44"/>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 xml:space="preserve">UL signaling content(s) </w:t>
            </w:r>
            <w:r>
              <w:rPr>
                <w:rFonts w:eastAsia="Times New Roman"/>
                <w:szCs w:val="24"/>
                <w:lang w:val="en-US" w:eastAsia="en-US"/>
              </w:rPr>
              <w:t xml:space="preserve">(and procedure(s) as required) </w:t>
            </w:r>
            <w:r w:rsidRPr="000D100E">
              <w:rPr>
                <w:rFonts w:eastAsia="Times New Roman"/>
                <w:szCs w:val="24"/>
                <w:lang w:val="en-US" w:eastAsia="en-US"/>
              </w:rPr>
              <w:t xml:space="preserve">for UE-initiated/event-driven beam reporting facilitating fast beam switching </w:t>
            </w:r>
          </w:p>
          <w:p w14:paraId="38F043D1" w14:textId="77777777" w:rsidR="001B73F6" w:rsidRPr="000D100E" w:rsidRDefault="001B73F6" w:rsidP="001B73F6">
            <w:pPr>
              <w:numPr>
                <w:ilvl w:val="1"/>
                <w:numId w:val="44"/>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UL signaling medium/container considering the UE-initiated/event-driven nature of the UL transmission, designed primarily for the purpose of beam reporting</w:t>
            </w:r>
            <w:bookmarkEnd w:id="3"/>
          </w:p>
          <w:p w14:paraId="7466798C" w14:textId="77777777" w:rsidR="001B73F6" w:rsidRPr="000D100E" w:rsidRDefault="001B73F6" w:rsidP="001B73F6">
            <w:pPr>
              <w:overflowPunct/>
              <w:autoSpaceDE/>
              <w:autoSpaceDN/>
              <w:adjustRightInd/>
              <w:snapToGrid w:val="0"/>
              <w:spacing w:after="0"/>
              <w:textAlignment w:val="auto"/>
              <w:rPr>
                <w:rFonts w:eastAsia="Times New Roman"/>
                <w:szCs w:val="24"/>
                <w:lang w:val="en-US" w:eastAsia="en-US"/>
              </w:rPr>
            </w:pPr>
          </w:p>
          <w:p w14:paraId="1A51DAC9" w14:textId="77777777" w:rsidR="001B73F6" w:rsidRPr="000D100E" w:rsidRDefault="001B73F6" w:rsidP="001B73F6">
            <w:pPr>
              <w:numPr>
                <w:ilvl w:val="0"/>
                <w:numId w:val="45"/>
              </w:numPr>
              <w:tabs>
                <w:tab w:val="left" w:pos="720"/>
              </w:tabs>
              <w:overflowPunct/>
              <w:autoSpaceDE/>
              <w:autoSpaceDN/>
              <w:adjustRightInd/>
              <w:snapToGrid w:val="0"/>
              <w:spacing w:after="0"/>
              <w:textAlignment w:val="auto"/>
              <w:rPr>
                <w:rFonts w:eastAsia="Times New Roman"/>
                <w:szCs w:val="24"/>
                <w:lang w:val="en-US" w:eastAsia="en-US"/>
              </w:rPr>
            </w:pPr>
            <w:bookmarkStart w:id="5" w:name="_Hlk146697700"/>
            <w:r w:rsidRPr="000D100E">
              <w:rPr>
                <w:rFonts w:eastAsia="Times New Roman"/>
                <w:szCs w:val="24"/>
                <w:lang w:val="en-US" w:eastAsia="en-US"/>
              </w:rPr>
              <w:t>Specify CSI support for up to 128 CSI-RS ports, targeting FR1</w:t>
            </w:r>
          </w:p>
          <w:p w14:paraId="51430C49" w14:textId="77777777" w:rsidR="001B73F6" w:rsidRPr="000D100E" w:rsidRDefault="001B73F6" w:rsidP="001B73F6">
            <w:pPr>
              <w:numPr>
                <w:ilvl w:val="1"/>
                <w:numId w:val="45"/>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14:paraId="143B405D" w14:textId="77777777" w:rsidR="001B73F6" w:rsidRPr="000D100E" w:rsidRDefault="001B73F6" w:rsidP="001B73F6">
            <w:pPr>
              <w:numPr>
                <w:ilvl w:val="1"/>
                <w:numId w:val="45"/>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020DC38" w14:textId="77777777" w:rsidR="001B73F6" w:rsidRPr="000D100E" w:rsidRDefault="001B73F6" w:rsidP="001B73F6">
            <w:pPr>
              <w:numPr>
                <w:ilvl w:val="1"/>
                <w:numId w:val="45"/>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5"/>
          </w:p>
          <w:p w14:paraId="47AD1F2B" w14:textId="77777777" w:rsidR="001B73F6" w:rsidRPr="000D100E" w:rsidRDefault="001B73F6" w:rsidP="001B73F6">
            <w:pPr>
              <w:overflowPunct/>
              <w:autoSpaceDE/>
              <w:autoSpaceDN/>
              <w:adjustRightInd/>
              <w:snapToGrid w:val="0"/>
              <w:spacing w:after="0"/>
              <w:textAlignment w:val="auto"/>
              <w:rPr>
                <w:rFonts w:eastAsia="Times New Roman"/>
                <w:szCs w:val="24"/>
                <w:lang w:val="en-US" w:eastAsia="en-US"/>
              </w:rPr>
            </w:pPr>
          </w:p>
          <w:p w14:paraId="579191C1" w14:textId="77777777" w:rsidR="001B73F6" w:rsidRPr="000D100E" w:rsidRDefault="001B73F6" w:rsidP="001B73F6">
            <w:pPr>
              <w:numPr>
                <w:ilvl w:val="0"/>
                <w:numId w:val="45"/>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 xml:space="preserve">Specify UE reporting enhancement for CJT deployments under non-ideal synchronization and backhaul, targeting FR1, both FDD and TDD </w:t>
            </w:r>
          </w:p>
          <w:p w14:paraId="069190DA" w14:textId="77777777" w:rsidR="001B73F6" w:rsidRPr="000D100E" w:rsidRDefault="001B73F6" w:rsidP="001B73F6">
            <w:pPr>
              <w:numPr>
                <w:ilvl w:val="0"/>
                <w:numId w:val="46"/>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Inter-TRP time misalignment and frequency/phase offset measurement and reporting, assuming legacy CSI-RS design, with stand-alone aperiodic reporting on PUSCH</w:t>
            </w:r>
          </w:p>
          <w:p w14:paraId="196EB8B7" w14:textId="77777777" w:rsidR="001B73F6" w:rsidRPr="000D100E" w:rsidRDefault="001B73F6" w:rsidP="001B73F6">
            <w:p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 </w:t>
            </w:r>
          </w:p>
          <w:p w14:paraId="47B0FCD4" w14:textId="77777777" w:rsidR="001B73F6" w:rsidRDefault="001B73F6" w:rsidP="001B73F6">
            <w:pPr>
              <w:numPr>
                <w:ilvl w:val="0"/>
                <w:numId w:val="45"/>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Specify non-coherent UL codebook to facilitate 3-antenna-port codebook-based transmissions, without enhancement on UL full power transmission and without enhancement on SRS resource</w:t>
            </w:r>
          </w:p>
          <w:p w14:paraId="6BE01B44" w14:textId="77777777" w:rsidR="001B73F6" w:rsidRPr="000D100E" w:rsidRDefault="001B73F6" w:rsidP="001B73F6">
            <w:pPr>
              <w:overflowPunct/>
              <w:autoSpaceDE/>
              <w:autoSpaceDN/>
              <w:adjustRightInd/>
              <w:snapToGrid w:val="0"/>
              <w:spacing w:after="0"/>
              <w:ind w:firstLine="720"/>
              <w:textAlignment w:val="auto"/>
              <w:rPr>
                <w:rFonts w:eastAsia="Times New Roman"/>
                <w:szCs w:val="24"/>
                <w:lang w:val="en-US" w:eastAsia="en-US"/>
              </w:rPr>
            </w:pPr>
            <w:r>
              <w:rPr>
                <w:rFonts w:eastAsia="Times New Roman"/>
                <w:szCs w:val="24"/>
                <w:lang w:val="en-US" w:eastAsia="en-US"/>
              </w:rPr>
              <w:t>Note: UL full power transmission mode 1 and 2 are not supported.</w:t>
            </w:r>
          </w:p>
          <w:p w14:paraId="0F830022" w14:textId="77777777" w:rsidR="001B73F6" w:rsidRPr="000D100E" w:rsidRDefault="001B73F6" w:rsidP="001B73F6">
            <w:pPr>
              <w:overflowPunct/>
              <w:autoSpaceDE/>
              <w:autoSpaceDN/>
              <w:adjustRightInd/>
              <w:snapToGrid w:val="0"/>
              <w:spacing w:after="0"/>
              <w:textAlignment w:val="auto"/>
              <w:rPr>
                <w:rFonts w:eastAsia="Times New Roman"/>
                <w:szCs w:val="24"/>
                <w:lang w:val="en-US" w:eastAsia="en-US"/>
              </w:rPr>
            </w:pPr>
          </w:p>
          <w:p w14:paraId="2FA8D8B7" w14:textId="77777777" w:rsidR="001B73F6" w:rsidRPr="000D100E" w:rsidRDefault="001B73F6" w:rsidP="001B73F6">
            <w:pPr>
              <w:numPr>
                <w:ilvl w:val="0"/>
                <w:numId w:val="45"/>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 xml:space="preserve">Specify 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deployment scenarios, assuming intra-band intra-DU non-co-located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 without changing existing cell definition or defining a new cell (e.g. UL-only cell), assuming the Rel-17/18 unified TCI framework</w:t>
            </w:r>
            <w:r w:rsidRPr="000D100E">
              <w:rPr>
                <w:rFonts w:eastAsia="Times New Roman"/>
                <w:sz w:val="24"/>
                <w:szCs w:val="24"/>
                <w:lang w:val="en-US" w:eastAsia="en-US"/>
              </w:rPr>
              <w:t xml:space="preserve"> </w:t>
            </w:r>
            <w:r w:rsidRPr="000D100E">
              <w:rPr>
                <w:rFonts w:eastAsia="Times New Roman"/>
                <w:szCs w:val="24"/>
                <w:lang w:val="en-US" w:eastAsia="en-US"/>
              </w:rPr>
              <w:t xml:space="preserve">and fully reusing the legacy QCL/UL spatial relation rules, targeting FR1 and FR2 </w:t>
            </w:r>
          </w:p>
          <w:p w14:paraId="7B8EBF71" w14:textId="77777777" w:rsidR="001B73F6" w:rsidRPr="000D100E" w:rsidRDefault="001B73F6" w:rsidP="001B73F6">
            <w:pPr>
              <w:numPr>
                <w:ilvl w:val="1"/>
                <w:numId w:val="45"/>
              </w:numPr>
              <w:overflowPunct/>
              <w:autoSpaceDE/>
              <w:autoSpaceDN/>
              <w:adjustRightInd/>
              <w:snapToGrid w:val="0"/>
              <w:spacing w:after="0"/>
              <w:textAlignment w:val="auto"/>
              <w:rPr>
                <w:rFonts w:eastAsia="Times New Roman"/>
                <w:szCs w:val="24"/>
                <w:lang w:val="en-US" w:eastAsia="en-US"/>
              </w:rPr>
            </w:pPr>
            <w:r w:rsidRPr="000D100E">
              <w:rPr>
                <w:rFonts w:eastAsia="Times New Roman"/>
                <w:szCs w:val="24"/>
                <w:lang w:val="en-US" w:eastAsia="en-US"/>
              </w:rPr>
              <w:t xml:space="preserve">Two closed-loop PC adjustment states for SRS, both separate from PUSCH; and </w:t>
            </w:r>
            <w:proofErr w:type="spellStart"/>
            <w:r w:rsidRPr="000D100E">
              <w:rPr>
                <w:rFonts w:eastAsia="Times New Roman"/>
                <w:szCs w:val="24"/>
                <w:lang w:val="en-US" w:eastAsia="en-US"/>
              </w:rPr>
              <w:t>pathloss</w:t>
            </w:r>
            <w:proofErr w:type="spellEnd"/>
            <w:r w:rsidRPr="000D100E">
              <w:rPr>
                <w:rFonts w:eastAsia="Times New Roman"/>
                <w:szCs w:val="24"/>
                <w:lang w:val="en-US" w:eastAsia="en-US"/>
              </w:rPr>
              <w:t xml:space="preserve"> offset configurations for </w:t>
            </w:r>
            <w:proofErr w:type="spellStart"/>
            <w:r w:rsidRPr="000D100E">
              <w:rPr>
                <w:rFonts w:eastAsia="Times New Roman"/>
                <w:szCs w:val="24"/>
                <w:lang w:val="en-US" w:eastAsia="en-US"/>
              </w:rPr>
              <w:t>pathloss</w:t>
            </w:r>
            <w:proofErr w:type="spellEnd"/>
            <w:r w:rsidRPr="000D100E">
              <w:rPr>
                <w:rFonts w:eastAsia="Times New Roman"/>
                <w:szCs w:val="24"/>
                <w:lang w:val="en-US" w:eastAsia="en-US"/>
              </w:rPr>
              <w:t xml:space="preserve"> calculation to UL TRP(s), when the </w:t>
            </w:r>
            <w:proofErr w:type="spellStart"/>
            <w:r w:rsidRPr="000D100E">
              <w:rPr>
                <w:rFonts w:eastAsia="Times New Roman"/>
                <w:szCs w:val="24"/>
                <w:lang w:val="en-US" w:eastAsia="en-US"/>
              </w:rPr>
              <w:t>pathloss</w:t>
            </w:r>
            <w:proofErr w:type="spellEnd"/>
            <w:r w:rsidRPr="000D100E">
              <w:rPr>
                <w:rFonts w:eastAsia="Times New Roman"/>
                <w:szCs w:val="24"/>
                <w:lang w:val="en-US" w:eastAsia="en-US"/>
              </w:rPr>
              <w:t xml:space="preserve"> RS is from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 </w:t>
            </w:r>
          </w:p>
          <w:bookmarkEnd w:id="4"/>
          <w:p w14:paraId="2E533F86" w14:textId="77777777" w:rsidR="001B73F6" w:rsidRPr="000D100E" w:rsidRDefault="001B73F6" w:rsidP="001B73F6">
            <w:pPr>
              <w:overflowPunct/>
              <w:autoSpaceDE/>
              <w:autoSpaceDN/>
              <w:adjustRightInd/>
              <w:snapToGrid w:val="0"/>
              <w:spacing w:after="0"/>
              <w:textAlignment w:val="auto"/>
              <w:rPr>
                <w:rFonts w:eastAsia="Times New Roman"/>
                <w:szCs w:val="24"/>
                <w:lang w:val="en-US" w:eastAsia="en-US"/>
              </w:rPr>
            </w:pPr>
          </w:p>
          <w:p w14:paraId="4AB8B9B1" w14:textId="77777777" w:rsidR="001B73F6" w:rsidRPr="009A700E" w:rsidRDefault="001B73F6" w:rsidP="001B73F6">
            <w:pPr>
              <w:overflowPunct/>
              <w:autoSpaceDE/>
              <w:autoSpaceDN/>
              <w:adjustRightInd/>
              <w:snapToGrid w:val="0"/>
              <w:spacing w:after="0"/>
              <w:textAlignment w:val="auto"/>
              <w:rPr>
                <w:rFonts w:eastAsia="Times New Roman"/>
                <w:szCs w:val="24"/>
                <w:lang w:val="en-US" w:eastAsia="en-US"/>
              </w:rPr>
            </w:pPr>
            <w:r w:rsidRPr="009A700E">
              <w:rPr>
                <w:rFonts w:eastAsia="Times New Roman"/>
                <w:szCs w:val="24"/>
                <w:lang w:val="en-US" w:eastAsia="en-US"/>
              </w:rPr>
              <w:t>Acronyms:</w:t>
            </w:r>
          </w:p>
          <w:p w14:paraId="2BB8961E" w14:textId="77777777" w:rsidR="001B73F6" w:rsidRPr="009A700E" w:rsidRDefault="001B73F6" w:rsidP="001B73F6">
            <w:pPr>
              <w:numPr>
                <w:ilvl w:val="0"/>
                <w:numId w:val="47"/>
              </w:numPr>
              <w:overflowPunct/>
              <w:autoSpaceDE/>
              <w:autoSpaceDN/>
              <w:adjustRightInd/>
              <w:snapToGrid w:val="0"/>
              <w:spacing w:after="0"/>
              <w:textAlignment w:val="auto"/>
              <w:rPr>
                <w:szCs w:val="24"/>
                <w:lang w:val="en-US" w:eastAsia="en-US"/>
              </w:rPr>
            </w:pPr>
            <w:proofErr w:type="spellStart"/>
            <w:r w:rsidRPr="009A700E">
              <w:rPr>
                <w:szCs w:val="24"/>
                <w:lang w:val="en-US" w:eastAsia="en-US"/>
              </w:rPr>
              <w:t>sTRP</w:t>
            </w:r>
            <w:proofErr w:type="spellEnd"/>
            <w:r w:rsidRPr="009A700E">
              <w:rPr>
                <w:szCs w:val="24"/>
                <w:lang w:val="en-US" w:eastAsia="en-US"/>
              </w:rPr>
              <w:t>: single TRP (transmit-receive point)</w:t>
            </w:r>
          </w:p>
          <w:p w14:paraId="6363B611" w14:textId="77777777" w:rsidR="001B73F6" w:rsidRPr="009A700E" w:rsidRDefault="001B73F6" w:rsidP="001B73F6">
            <w:pPr>
              <w:numPr>
                <w:ilvl w:val="0"/>
                <w:numId w:val="47"/>
              </w:numPr>
              <w:overflowPunct/>
              <w:autoSpaceDE/>
              <w:autoSpaceDN/>
              <w:adjustRightInd/>
              <w:snapToGrid w:val="0"/>
              <w:spacing w:after="0"/>
              <w:textAlignment w:val="auto"/>
              <w:rPr>
                <w:szCs w:val="24"/>
                <w:lang w:val="en-US" w:eastAsia="en-US"/>
              </w:rPr>
            </w:pPr>
            <w:proofErr w:type="spellStart"/>
            <w:r w:rsidRPr="009A700E">
              <w:rPr>
                <w:szCs w:val="24"/>
                <w:lang w:val="en-US" w:eastAsia="en-US"/>
              </w:rPr>
              <w:t>mTRP</w:t>
            </w:r>
            <w:proofErr w:type="spellEnd"/>
            <w:r w:rsidRPr="009A700E">
              <w:rPr>
                <w:szCs w:val="24"/>
                <w:lang w:val="en-US" w:eastAsia="en-US"/>
              </w:rPr>
              <w:t>: multiple TRP (transmit-receive point)</w:t>
            </w:r>
          </w:p>
          <w:p w14:paraId="034C9AB9" w14:textId="77777777" w:rsidR="001B73F6" w:rsidRPr="009A700E" w:rsidRDefault="001B73F6" w:rsidP="001B73F6">
            <w:pPr>
              <w:numPr>
                <w:ilvl w:val="0"/>
                <w:numId w:val="47"/>
              </w:numPr>
              <w:overflowPunct/>
              <w:autoSpaceDE/>
              <w:autoSpaceDN/>
              <w:adjustRightInd/>
              <w:snapToGrid w:val="0"/>
              <w:spacing w:after="0"/>
              <w:textAlignment w:val="auto"/>
              <w:rPr>
                <w:szCs w:val="24"/>
                <w:lang w:val="en-US" w:eastAsia="en-US"/>
              </w:rPr>
            </w:pPr>
            <w:r w:rsidRPr="009A700E">
              <w:rPr>
                <w:szCs w:val="24"/>
                <w:lang w:val="en-US" w:eastAsia="en-US"/>
              </w:rPr>
              <w:lastRenderedPageBreak/>
              <w:t>CJT: coherent joint transmission</w:t>
            </w:r>
          </w:p>
          <w:p w14:paraId="2CD857F1" w14:textId="77777777" w:rsidR="001B73F6" w:rsidRPr="009A700E" w:rsidRDefault="001B73F6" w:rsidP="001B73F6">
            <w:pPr>
              <w:numPr>
                <w:ilvl w:val="0"/>
                <w:numId w:val="47"/>
              </w:numPr>
              <w:overflowPunct/>
              <w:autoSpaceDE/>
              <w:autoSpaceDN/>
              <w:adjustRightInd/>
              <w:snapToGrid w:val="0"/>
              <w:spacing w:after="0"/>
              <w:textAlignment w:val="auto"/>
              <w:rPr>
                <w:szCs w:val="24"/>
                <w:lang w:val="en-US" w:eastAsia="en-US"/>
              </w:rPr>
            </w:pPr>
            <w:r w:rsidRPr="009A700E">
              <w:rPr>
                <w:szCs w:val="24"/>
                <w:lang w:val="en-US" w:eastAsia="en-US"/>
              </w:rPr>
              <w:t>DU: distributed unit</w:t>
            </w:r>
          </w:p>
          <w:p w14:paraId="02B27CE4" w14:textId="77777777" w:rsidR="001B73F6" w:rsidRPr="009A700E" w:rsidRDefault="001B73F6" w:rsidP="001B73F6">
            <w:pPr>
              <w:numPr>
                <w:ilvl w:val="0"/>
                <w:numId w:val="47"/>
              </w:numPr>
              <w:overflowPunct/>
              <w:autoSpaceDE/>
              <w:autoSpaceDN/>
              <w:adjustRightInd/>
              <w:snapToGrid w:val="0"/>
              <w:spacing w:after="0"/>
              <w:textAlignment w:val="auto"/>
              <w:rPr>
                <w:szCs w:val="24"/>
                <w:lang w:val="en-US" w:eastAsia="en-US"/>
              </w:rPr>
            </w:pPr>
            <w:r w:rsidRPr="009A700E">
              <w:rPr>
                <w:szCs w:val="24"/>
                <w:lang w:val="en-US" w:eastAsia="en-US"/>
              </w:rPr>
              <w:t>CRI: CSI-RS resource indicator</w:t>
            </w:r>
          </w:p>
          <w:p w14:paraId="146DF41F" w14:textId="77777777" w:rsidR="001B73F6" w:rsidRPr="00F85229" w:rsidRDefault="001B73F6" w:rsidP="001B73F6">
            <w:pPr>
              <w:snapToGrid w:val="0"/>
              <w:spacing w:beforeLines="50" w:before="120" w:after="0"/>
              <w:jc w:val="both"/>
              <w:rPr>
                <w:bCs/>
                <w:lang w:val="en-US"/>
              </w:rPr>
            </w:pPr>
          </w:p>
          <w:p w14:paraId="593B1311" w14:textId="77777777" w:rsidR="001B73F6" w:rsidRPr="00944783" w:rsidRDefault="001B73F6" w:rsidP="001B73F6">
            <w:pPr>
              <w:spacing w:after="0"/>
              <w:rPr>
                <w:rFonts w:eastAsia="Malgun Gothic"/>
                <w:b/>
                <w:lang w:val="en-US" w:eastAsia="ko-KR"/>
              </w:rPr>
            </w:pPr>
            <w:r w:rsidRPr="00944783">
              <w:rPr>
                <w:rFonts w:eastAsia="Malgun Gothic" w:hint="eastAsia"/>
                <w:b/>
                <w:lang w:val="en-US" w:eastAsia="ko-KR"/>
              </w:rPr>
              <w:t>RAN2:</w:t>
            </w:r>
          </w:p>
          <w:p w14:paraId="4A5760CC" w14:textId="77777777" w:rsidR="001B73F6" w:rsidRDefault="001B73F6" w:rsidP="001B73F6">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152941FC" w14:textId="77777777" w:rsidR="001B73F6" w:rsidRDefault="001B73F6" w:rsidP="001B73F6">
            <w:pPr>
              <w:spacing w:after="0"/>
              <w:rPr>
                <w:lang w:eastAsia="ko-KR"/>
              </w:rPr>
            </w:pPr>
          </w:p>
          <w:p w14:paraId="6AD52C26" w14:textId="77777777" w:rsidR="001B73F6" w:rsidRPr="00944783" w:rsidRDefault="001B73F6" w:rsidP="001B73F6">
            <w:pPr>
              <w:spacing w:after="0"/>
              <w:rPr>
                <w:rFonts w:eastAsia="Malgun Gothic"/>
                <w:b/>
                <w:lang w:eastAsia="ko-KR"/>
              </w:rPr>
            </w:pPr>
            <w:r w:rsidRPr="00944783">
              <w:rPr>
                <w:rFonts w:eastAsia="Malgun Gothic" w:hint="eastAsia"/>
                <w:b/>
                <w:lang w:eastAsia="ko-KR"/>
              </w:rPr>
              <w:t>RAN4:</w:t>
            </w:r>
          </w:p>
          <w:p w14:paraId="0B5E9432" w14:textId="52EA3102" w:rsidR="00DB2DD2" w:rsidRPr="001B73F6" w:rsidRDefault="001B73F6" w:rsidP="001B73F6">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30B46F7E" w14:textId="4B53644B" w:rsidR="00E02006" w:rsidRDefault="001B73F6" w:rsidP="00AB1467">
      <w:pPr>
        <w:jc w:val="both"/>
      </w:pPr>
      <w:r>
        <w:lastRenderedPageBreak/>
        <w:t>In this contribution, we would like to share our views regarding this topic.</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0A78C937" w14:textId="428BDE84" w:rsidR="001B73F6" w:rsidRDefault="009D382E" w:rsidP="001B73F6">
      <w:pPr>
        <w:jc w:val="both"/>
      </w:pPr>
      <w:r>
        <w:t>From our understanding</w:t>
      </w:r>
      <w:r w:rsidR="00F077BF">
        <w:t xml:space="preserve">, the 3Tx would have RAN4 RF requirements impact. </w:t>
      </w:r>
      <w:r w:rsidR="001B73F6">
        <w:t xml:space="preserve">Following </w:t>
      </w:r>
      <w:r w:rsidR="00F077BF">
        <w:t xml:space="preserve">RAN1 </w:t>
      </w:r>
      <w:r w:rsidR="001B73F6">
        <w:t>progress on 3Tx can be found in [2, 3 and 4].</w:t>
      </w:r>
    </w:p>
    <w:tbl>
      <w:tblPr>
        <w:tblStyle w:val="af8"/>
        <w:tblW w:w="0" w:type="auto"/>
        <w:tblLook w:val="04A0" w:firstRow="1" w:lastRow="0" w:firstColumn="1" w:lastColumn="0" w:noHBand="0" w:noVBand="1"/>
      </w:tblPr>
      <w:tblGrid>
        <w:gridCol w:w="9631"/>
      </w:tblGrid>
      <w:tr w:rsidR="001B73F6" w14:paraId="6C7D50B6" w14:textId="77777777" w:rsidTr="00965AD5">
        <w:tc>
          <w:tcPr>
            <w:tcW w:w="9631" w:type="dxa"/>
          </w:tcPr>
          <w:p w14:paraId="56CC0704" w14:textId="77777777" w:rsidR="001B73F6" w:rsidRDefault="001B73F6" w:rsidP="00965AD5">
            <w:pPr>
              <w:rPr>
                <w:rFonts w:eastAsiaTheme="minorEastAsia"/>
              </w:rPr>
            </w:pPr>
            <w:r w:rsidRPr="00E24643">
              <w:rPr>
                <w:rFonts w:eastAsiaTheme="minorEastAsia"/>
                <w:highlight w:val="yellow"/>
              </w:rPr>
              <w:t>RAN#116</w:t>
            </w:r>
          </w:p>
          <w:p w14:paraId="6C35FB98" w14:textId="77777777" w:rsidR="001B73F6" w:rsidRPr="00DB0C6E" w:rsidRDefault="001B73F6" w:rsidP="00965AD5">
            <w:pPr>
              <w:spacing w:after="0"/>
              <w:contextualSpacing/>
              <w:rPr>
                <w:bCs/>
                <w:highlight w:val="green"/>
              </w:rPr>
            </w:pPr>
            <w:r w:rsidRPr="00DB0C6E">
              <w:rPr>
                <w:bCs/>
                <w:highlight w:val="green"/>
              </w:rPr>
              <w:t>Agreement</w:t>
            </w:r>
          </w:p>
          <w:p w14:paraId="6E01D992" w14:textId="77777777" w:rsidR="001B73F6" w:rsidRPr="008F1F43" w:rsidRDefault="001B73F6" w:rsidP="00965AD5">
            <w:pPr>
              <w:spacing w:after="0"/>
              <w:contextualSpacing/>
              <w:rPr>
                <w:sz w:val="22"/>
                <w:szCs w:val="22"/>
              </w:rPr>
            </w:pPr>
            <w:r w:rsidRPr="008F1F43">
              <w:rPr>
                <w:sz w:val="22"/>
                <w:szCs w:val="22"/>
              </w:rPr>
              <w:t xml:space="preserve">For non-coherent uplink precoding by a 3TX UE, at least following </w:t>
            </w:r>
            <w:proofErr w:type="spellStart"/>
            <w:r w:rsidRPr="008F1F43">
              <w:rPr>
                <w:sz w:val="22"/>
                <w:szCs w:val="22"/>
              </w:rPr>
              <w:t>precoders</w:t>
            </w:r>
            <w:proofErr w:type="spellEnd"/>
            <w:r w:rsidRPr="008F1F43">
              <w:rPr>
                <w:sz w:val="22"/>
                <w:szCs w:val="22"/>
              </w:rPr>
              <w:t xml:space="preserve"> are supported for single-layer transmission.</w:t>
            </w:r>
          </w:p>
          <w:p w14:paraId="5804B0D8" w14:textId="77777777" w:rsidR="001B73F6" w:rsidRPr="008F1F43" w:rsidRDefault="0064010B" w:rsidP="00965AD5">
            <w:pPr>
              <w:spacing w:after="0"/>
              <w:contextualSpacing/>
              <w:jc w:val="center"/>
              <w:rPr>
                <w:sz w:val="22"/>
                <w:szCs w:val="22"/>
              </w:rPr>
            </w:pPr>
            <w:r>
              <w:rPr>
                <w:sz w:val="22"/>
                <w:szCs w:val="22"/>
              </w:rPr>
              <w:pict w14:anchorId="140D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pt;height:32.05pt" equationxml="&lt;">
                  <v:imagedata r:id="rId8" o:title="" chromakey="white"/>
                </v:shape>
              </w:pict>
            </w:r>
          </w:p>
          <w:p w14:paraId="47014395" w14:textId="77777777" w:rsidR="001B73F6" w:rsidRDefault="001B73F6" w:rsidP="00965AD5">
            <w:pPr>
              <w:widowControl w:val="0"/>
              <w:snapToGrid w:val="0"/>
              <w:spacing w:after="0"/>
              <w:contextualSpacing/>
              <w:rPr>
                <w:b/>
                <w:sz w:val="22"/>
                <w:szCs w:val="22"/>
                <w:highlight w:val="green"/>
              </w:rPr>
            </w:pPr>
          </w:p>
          <w:p w14:paraId="168A814D" w14:textId="77777777" w:rsidR="001B73F6" w:rsidRPr="00DB0C6E" w:rsidRDefault="001B73F6" w:rsidP="00965AD5">
            <w:pPr>
              <w:spacing w:after="0"/>
              <w:contextualSpacing/>
              <w:rPr>
                <w:bCs/>
                <w:highlight w:val="green"/>
              </w:rPr>
            </w:pPr>
            <w:r w:rsidRPr="00DB0C6E">
              <w:rPr>
                <w:bCs/>
                <w:highlight w:val="green"/>
              </w:rPr>
              <w:t>Agreement</w:t>
            </w:r>
          </w:p>
          <w:p w14:paraId="5A8F161A" w14:textId="77777777" w:rsidR="001B73F6" w:rsidRPr="008F1F43" w:rsidRDefault="001B73F6" w:rsidP="00965AD5">
            <w:pPr>
              <w:spacing w:after="0"/>
              <w:contextualSpacing/>
              <w:rPr>
                <w:sz w:val="22"/>
                <w:szCs w:val="22"/>
              </w:rPr>
            </w:pPr>
            <w:r w:rsidRPr="008F1F43">
              <w:rPr>
                <w:sz w:val="22"/>
                <w:szCs w:val="22"/>
              </w:rPr>
              <w:t xml:space="preserve">For non-coherent uplink precoding by a 3TX UE, at least following </w:t>
            </w:r>
            <w:proofErr w:type="spellStart"/>
            <w:r w:rsidRPr="008F1F43">
              <w:rPr>
                <w:sz w:val="22"/>
                <w:szCs w:val="22"/>
              </w:rPr>
              <w:t>precoders</w:t>
            </w:r>
            <w:proofErr w:type="spellEnd"/>
            <w:r w:rsidRPr="008F1F43">
              <w:rPr>
                <w:sz w:val="22"/>
                <w:szCs w:val="22"/>
              </w:rPr>
              <w:t xml:space="preserve"> are supported for two-layer transmission.</w:t>
            </w:r>
          </w:p>
          <w:p w14:paraId="3E4FC6F3" w14:textId="77777777" w:rsidR="001B73F6" w:rsidRPr="008F1F43" w:rsidRDefault="001B73F6" w:rsidP="00965AD5">
            <w:pPr>
              <w:spacing w:after="0"/>
              <w:contextualSpacing/>
              <w:jc w:val="center"/>
              <w:rPr>
                <w:sz w:val="22"/>
                <w:szCs w:val="22"/>
              </w:rPr>
            </w:pPr>
            <w:r w:rsidRPr="008F1F43">
              <w:rPr>
                <w:sz w:val="22"/>
                <w:szCs w:val="22"/>
              </w:rPr>
              <w:fldChar w:fldCharType="begin"/>
            </w:r>
            <w:r w:rsidRPr="008F1F43">
              <w:rPr>
                <w:sz w:val="22"/>
                <w:szCs w:val="22"/>
              </w:rPr>
              <w:instrText xml:space="preserve"> QUOTE </w:instrText>
            </w:r>
            <w:r w:rsidR="0064010B">
              <w:rPr>
                <w:position w:val="-24"/>
                <w:sz w:val="22"/>
                <w:szCs w:val="22"/>
              </w:rPr>
              <w:pict w14:anchorId="5439E620">
                <v:shape id="_x0000_i1026" type="#_x0000_t75" style="width:39.55pt;height:32.05pt" equationxml="&lt;">
                  <v:imagedata r:id="rId9" o:title="" chromakey="white"/>
                </v:shape>
              </w:pict>
            </w:r>
            <w:r w:rsidRPr="008F1F43">
              <w:rPr>
                <w:sz w:val="22"/>
                <w:szCs w:val="22"/>
              </w:rPr>
              <w:instrText xml:space="preserve"> </w:instrText>
            </w:r>
            <w:r w:rsidRPr="008F1F43">
              <w:rPr>
                <w:sz w:val="22"/>
                <w:szCs w:val="22"/>
              </w:rPr>
              <w:fldChar w:fldCharType="separate"/>
            </w:r>
            <w:r w:rsidR="0064010B">
              <w:rPr>
                <w:position w:val="-24"/>
                <w:sz w:val="22"/>
                <w:szCs w:val="22"/>
              </w:rPr>
              <w:pict w14:anchorId="4C3E3CC1">
                <v:shape id="_x0000_i1027" type="#_x0000_t75" style="width:39.55pt;height:32.05pt" equationxml="&lt;">
                  <v:imagedata r:id="rId9" o:title="" chromakey="white"/>
                </v:shape>
              </w:pict>
            </w:r>
            <w:r w:rsidRPr="008F1F43">
              <w:rPr>
                <w:sz w:val="22"/>
                <w:szCs w:val="22"/>
              </w:rPr>
              <w:fldChar w:fldCharType="end"/>
            </w:r>
            <w:r w:rsidRPr="008F1F43">
              <w:rPr>
                <w:sz w:val="22"/>
                <w:szCs w:val="22"/>
              </w:rPr>
              <w:t xml:space="preserve">, </w:t>
            </w:r>
            <w:r w:rsidRPr="008F1F43">
              <w:rPr>
                <w:sz w:val="22"/>
                <w:szCs w:val="22"/>
              </w:rPr>
              <w:fldChar w:fldCharType="begin"/>
            </w:r>
            <w:r w:rsidRPr="008F1F43">
              <w:rPr>
                <w:sz w:val="22"/>
                <w:szCs w:val="22"/>
              </w:rPr>
              <w:instrText xml:space="preserve"> QUOTE </w:instrText>
            </w:r>
            <w:r w:rsidR="0064010B">
              <w:rPr>
                <w:position w:val="-24"/>
                <w:sz w:val="22"/>
                <w:szCs w:val="22"/>
              </w:rPr>
              <w:pict w14:anchorId="0AAD9DDF">
                <v:shape id="_x0000_i1028" type="#_x0000_t75" style="width:39.55pt;height:32.05pt" equationxml="&lt;">
                  <v:imagedata r:id="rId10" o:title="" chromakey="white"/>
                </v:shape>
              </w:pict>
            </w:r>
            <w:r w:rsidRPr="008F1F43">
              <w:rPr>
                <w:sz w:val="22"/>
                <w:szCs w:val="22"/>
              </w:rPr>
              <w:instrText xml:space="preserve"> </w:instrText>
            </w:r>
            <w:r w:rsidRPr="008F1F43">
              <w:rPr>
                <w:sz w:val="22"/>
                <w:szCs w:val="22"/>
              </w:rPr>
              <w:fldChar w:fldCharType="separate"/>
            </w:r>
            <w:r w:rsidR="0064010B">
              <w:rPr>
                <w:position w:val="-24"/>
                <w:sz w:val="22"/>
                <w:szCs w:val="22"/>
              </w:rPr>
              <w:pict w14:anchorId="418E1AC0">
                <v:shape id="_x0000_i1029" type="#_x0000_t75" style="width:39.55pt;height:32.05pt" equationxml="&lt;">
                  <v:imagedata r:id="rId10" o:title="" chromakey="white"/>
                </v:shape>
              </w:pict>
            </w:r>
            <w:r w:rsidRPr="008F1F43">
              <w:rPr>
                <w:sz w:val="22"/>
                <w:szCs w:val="22"/>
              </w:rPr>
              <w:fldChar w:fldCharType="end"/>
            </w:r>
            <w:r w:rsidRPr="008F1F43">
              <w:rPr>
                <w:sz w:val="22"/>
                <w:szCs w:val="22"/>
              </w:rPr>
              <w:t>,</w:t>
            </w:r>
            <w:r w:rsidRPr="008F1F43">
              <w:rPr>
                <w:kern w:val="2"/>
                <w:sz w:val="22"/>
                <w:szCs w:val="22"/>
              </w:rPr>
              <w:t xml:space="preserve"> </w:t>
            </w:r>
            <w:r w:rsidRPr="008F1F43">
              <w:rPr>
                <w:sz w:val="22"/>
                <w:szCs w:val="22"/>
              </w:rPr>
              <w:fldChar w:fldCharType="begin"/>
            </w:r>
            <w:r w:rsidRPr="008F1F43">
              <w:rPr>
                <w:sz w:val="22"/>
                <w:szCs w:val="22"/>
              </w:rPr>
              <w:instrText xml:space="preserve"> QUOTE </w:instrText>
            </w:r>
            <w:r w:rsidR="0064010B">
              <w:rPr>
                <w:position w:val="-12"/>
                <w:sz w:val="22"/>
                <w:szCs w:val="22"/>
              </w:rPr>
              <w:pict w14:anchorId="03A50E12">
                <v:shape id="_x0000_i1030" type="#_x0000_t75" style="width:8.7pt;height:17.4pt" equationxml="&lt;">
                  <v:imagedata r:id="rId11" o:title="" chromakey="white"/>
                </v:shape>
              </w:pict>
            </w:r>
            <w:r w:rsidRPr="008F1F43">
              <w:rPr>
                <w:sz w:val="22"/>
                <w:szCs w:val="22"/>
              </w:rPr>
              <w:instrText xml:space="preserve"> </w:instrText>
            </w:r>
            <w:r w:rsidRPr="008F1F43">
              <w:rPr>
                <w:sz w:val="22"/>
                <w:szCs w:val="22"/>
              </w:rPr>
              <w:fldChar w:fldCharType="separate"/>
            </w:r>
            <w:r w:rsidR="0064010B">
              <w:rPr>
                <w:position w:val="-12"/>
                <w:sz w:val="22"/>
                <w:szCs w:val="22"/>
              </w:rPr>
              <w:pict w14:anchorId="6E19859A">
                <v:shape id="_x0000_i1031" type="#_x0000_t75" style="width:8.7pt;height:17.4pt" equationxml="&lt;">
                  <v:imagedata r:id="rId11" o:title="" chromakey="white"/>
                </v:shape>
              </w:pict>
            </w:r>
            <w:r w:rsidRPr="008F1F43">
              <w:rPr>
                <w:sz w:val="22"/>
                <w:szCs w:val="22"/>
              </w:rPr>
              <w:fldChar w:fldCharType="end"/>
            </w:r>
            <w:r w:rsidRPr="008F1F43">
              <w:rPr>
                <w:sz w:val="22"/>
                <w:szCs w:val="22"/>
              </w:rPr>
              <w:t xml:space="preserve"> </w:t>
            </w:r>
            <w:r w:rsidRPr="008F1F43">
              <w:rPr>
                <w:sz w:val="22"/>
                <w:szCs w:val="22"/>
              </w:rPr>
              <w:fldChar w:fldCharType="begin"/>
            </w:r>
            <w:r w:rsidRPr="008F1F43">
              <w:rPr>
                <w:sz w:val="22"/>
                <w:szCs w:val="22"/>
              </w:rPr>
              <w:instrText xml:space="preserve"> QUOTE </w:instrText>
            </w:r>
            <w:r w:rsidR="0064010B">
              <w:rPr>
                <w:position w:val="-24"/>
                <w:sz w:val="22"/>
                <w:szCs w:val="22"/>
              </w:rPr>
              <w:pict w14:anchorId="64276692">
                <v:shape id="_x0000_i1032" type="#_x0000_t75" style="width:28.9pt;height:32.05pt" equationxml="&lt;">
                  <v:imagedata r:id="rId12" o:title="" chromakey="white"/>
                </v:shape>
              </w:pict>
            </w:r>
            <w:r w:rsidRPr="008F1F43">
              <w:rPr>
                <w:sz w:val="22"/>
                <w:szCs w:val="22"/>
              </w:rPr>
              <w:instrText xml:space="preserve"> </w:instrText>
            </w:r>
            <w:r w:rsidRPr="008F1F43">
              <w:rPr>
                <w:sz w:val="22"/>
                <w:szCs w:val="22"/>
              </w:rPr>
              <w:fldChar w:fldCharType="separate"/>
            </w:r>
            <w:r w:rsidR="0064010B">
              <w:rPr>
                <w:position w:val="-24"/>
                <w:sz w:val="22"/>
                <w:szCs w:val="22"/>
              </w:rPr>
              <w:pict w14:anchorId="5696D22B">
                <v:shape id="_x0000_i1033" type="#_x0000_t75" style="width:28.9pt;height:32.05pt" equationxml="&lt;">
                  <v:imagedata r:id="rId12" o:title="" chromakey="white"/>
                </v:shape>
              </w:pict>
            </w:r>
            <w:r w:rsidRPr="008F1F43">
              <w:rPr>
                <w:sz w:val="22"/>
                <w:szCs w:val="22"/>
              </w:rPr>
              <w:fldChar w:fldCharType="end"/>
            </w:r>
          </w:p>
          <w:p w14:paraId="15903A83" w14:textId="77777777" w:rsidR="001B73F6" w:rsidRDefault="001B73F6" w:rsidP="00965AD5">
            <w:pPr>
              <w:widowControl w:val="0"/>
              <w:snapToGrid w:val="0"/>
              <w:spacing w:after="0"/>
              <w:contextualSpacing/>
              <w:rPr>
                <w:b/>
                <w:sz w:val="22"/>
                <w:szCs w:val="22"/>
                <w:highlight w:val="green"/>
              </w:rPr>
            </w:pPr>
          </w:p>
          <w:p w14:paraId="59216C16" w14:textId="77777777" w:rsidR="001B73F6" w:rsidRPr="00DB0C6E" w:rsidRDefault="001B73F6" w:rsidP="00965AD5">
            <w:pPr>
              <w:spacing w:after="0"/>
              <w:contextualSpacing/>
              <w:rPr>
                <w:bCs/>
                <w:highlight w:val="green"/>
              </w:rPr>
            </w:pPr>
            <w:r w:rsidRPr="00DB0C6E">
              <w:rPr>
                <w:bCs/>
                <w:highlight w:val="green"/>
              </w:rPr>
              <w:t>Agreement</w:t>
            </w:r>
          </w:p>
          <w:p w14:paraId="723C602E" w14:textId="77777777" w:rsidR="001B73F6" w:rsidRPr="008F1F43" w:rsidRDefault="001B73F6" w:rsidP="00965AD5">
            <w:pPr>
              <w:spacing w:after="0"/>
              <w:contextualSpacing/>
              <w:rPr>
                <w:sz w:val="22"/>
                <w:szCs w:val="22"/>
              </w:rPr>
            </w:pPr>
            <w:r w:rsidRPr="008F1F43">
              <w:rPr>
                <w:sz w:val="22"/>
                <w:szCs w:val="22"/>
              </w:rPr>
              <w:t xml:space="preserve">For non-coherent uplink precoding by a 3TX UE, at least following </w:t>
            </w:r>
            <w:proofErr w:type="spellStart"/>
            <w:r w:rsidRPr="008F1F43">
              <w:rPr>
                <w:sz w:val="22"/>
                <w:szCs w:val="22"/>
              </w:rPr>
              <w:t>precoders</w:t>
            </w:r>
            <w:proofErr w:type="spellEnd"/>
            <w:r w:rsidRPr="008F1F43">
              <w:rPr>
                <w:sz w:val="22"/>
                <w:szCs w:val="22"/>
              </w:rPr>
              <w:t xml:space="preserve"> are supported for three-layer transmission.</w:t>
            </w:r>
          </w:p>
          <w:p w14:paraId="1142BCE6" w14:textId="77777777" w:rsidR="001B73F6" w:rsidRPr="008F1F43" w:rsidRDefault="0064010B" w:rsidP="00965AD5">
            <w:pPr>
              <w:spacing w:after="0"/>
              <w:contextualSpacing/>
              <w:jc w:val="center"/>
              <w:rPr>
                <w:sz w:val="22"/>
                <w:szCs w:val="22"/>
              </w:rPr>
            </w:pPr>
            <w:r>
              <w:rPr>
                <w:sz w:val="22"/>
                <w:szCs w:val="22"/>
              </w:rPr>
              <w:pict w14:anchorId="7309A15F">
                <v:shape id="_x0000_i1034" type="#_x0000_t75" style="width:58.15pt;height:32.05pt" equationxml="&lt;">
                  <v:imagedata r:id="rId13" o:title="" chromakey="white"/>
                </v:shape>
              </w:pict>
            </w:r>
          </w:p>
          <w:p w14:paraId="48558484" w14:textId="77777777" w:rsidR="001B73F6" w:rsidRPr="00DB0C6E" w:rsidRDefault="001B73F6" w:rsidP="00965AD5">
            <w:pPr>
              <w:spacing w:after="0"/>
              <w:contextualSpacing/>
              <w:rPr>
                <w:bCs/>
                <w:highlight w:val="green"/>
              </w:rPr>
            </w:pPr>
            <w:r w:rsidRPr="00DB0C6E">
              <w:rPr>
                <w:bCs/>
                <w:highlight w:val="green"/>
              </w:rPr>
              <w:t>Agreement</w:t>
            </w:r>
          </w:p>
          <w:p w14:paraId="13C9A84D" w14:textId="77777777" w:rsidR="001B73F6" w:rsidRPr="008F1F43" w:rsidRDefault="001B73F6" w:rsidP="00965AD5">
            <w:pPr>
              <w:spacing w:after="0"/>
              <w:contextualSpacing/>
              <w:jc w:val="both"/>
              <w:rPr>
                <w:sz w:val="22"/>
                <w:szCs w:val="22"/>
              </w:rPr>
            </w:pPr>
            <w:r w:rsidRPr="008F1F43">
              <w:rPr>
                <w:sz w:val="22"/>
                <w:szCs w:val="22"/>
              </w:rPr>
              <w:t>For a 3-antenna-port codebook-based UL transmission, study power split for each port of SRS and PUSCH.</w:t>
            </w:r>
          </w:p>
          <w:p w14:paraId="3A4A5E7A" w14:textId="77777777" w:rsidR="001B73F6" w:rsidRPr="008F1F43" w:rsidRDefault="001B73F6" w:rsidP="00965AD5">
            <w:pPr>
              <w:spacing w:after="0"/>
              <w:contextualSpacing/>
              <w:jc w:val="both"/>
              <w:rPr>
                <w:sz w:val="22"/>
                <w:szCs w:val="22"/>
              </w:rPr>
            </w:pPr>
          </w:p>
          <w:p w14:paraId="52173341" w14:textId="77777777" w:rsidR="001B73F6" w:rsidRPr="00DB0C6E" w:rsidRDefault="001B73F6" w:rsidP="00965AD5">
            <w:pPr>
              <w:spacing w:after="0"/>
              <w:contextualSpacing/>
              <w:rPr>
                <w:bCs/>
                <w:highlight w:val="green"/>
              </w:rPr>
            </w:pPr>
            <w:r w:rsidRPr="00DB0C6E">
              <w:rPr>
                <w:bCs/>
                <w:highlight w:val="green"/>
              </w:rPr>
              <w:t>Agreement</w:t>
            </w:r>
          </w:p>
          <w:p w14:paraId="5F1622A6" w14:textId="77777777" w:rsidR="001B73F6" w:rsidRPr="008F1F43" w:rsidRDefault="001B73F6" w:rsidP="00965AD5">
            <w:pPr>
              <w:spacing w:after="0"/>
              <w:contextualSpacing/>
              <w:jc w:val="both"/>
              <w:rPr>
                <w:sz w:val="22"/>
                <w:szCs w:val="22"/>
              </w:rPr>
            </w:pPr>
            <w:r w:rsidRPr="008F1F43">
              <w:rPr>
                <w:sz w:val="22"/>
                <w:szCs w:val="22"/>
              </w:rPr>
              <w:t>For codebook-based uplink transmission by a 3TX UE, support full-power Mode 0</w:t>
            </w:r>
            <w:r w:rsidRPr="008F1F43">
              <w:rPr>
                <w:color w:val="FF0000"/>
                <w:sz w:val="22"/>
                <w:szCs w:val="22"/>
              </w:rPr>
              <w:t>, subject to UE capability</w:t>
            </w:r>
            <w:r w:rsidRPr="008F1F43">
              <w:rPr>
                <w:sz w:val="22"/>
                <w:szCs w:val="22"/>
              </w:rPr>
              <w:t>.</w:t>
            </w:r>
          </w:p>
          <w:p w14:paraId="6F3C1291" w14:textId="77777777" w:rsidR="001B73F6" w:rsidRDefault="001B73F6" w:rsidP="00965AD5">
            <w:pPr>
              <w:rPr>
                <w:rFonts w:eastAsiaTheme="minorEastAsia"/>
              </w:rPr>
            </w:pPr>
          </w:p>
          <w:p w14:paraId="6EA143D4" w14:textId="77777777" w:rsidR="001B73F6" w:rsidRPr="00E24643" w:rsidRDefault="001B73F6" w:rsidP="00965AD5">
            <w:pPr>
              <w:rPr>
                <w:rFonts w:eastAsiaTheme="minorEastAsia"/>
                <w:i/>
              </w:rPr>
            </w:pPr>
            <w:r w:rsidRPr="00E24643">
              <w:rPr>
                <w:rFonts w:eastAsiaTheme="minorEastAsia"/>
                <w:i/>
                <w:highlight w:val="yellow"/>
              </w:rPr>
              <w:t>RAN#116bis</w:t>
            </w:r>
          </w:p>
          <w:p w14:paraId="3BB3FF4C" w14:textId="77777777" w:rsidR="001B73F6" w:rsidRPr="00DB0C6E" w:rsidRDefault="001B73F6" w:rsidP="00965AD5">
            <w:pPr>
              <w:spacing w:after="0"/>
              <w:contextualSpacing/>
              <w:rPr>
                <w:bCs/>
                <w:highlight w:val="green"/>
              </w:rPr>
            </w:pPr>
            <w:r w:rsidRPr="00DB0C6E">
              <w:rPr>
                <w:bCs/>
                <w:highlight w:val="green"/>
              </w:rPr>
              <w:t>Agreement</w:t>
            </w:r>
          </w:p>
          <w:p w14:paraId="0355D404" w14:textId="77777777" w:rsidR="001B73F6" w:rsidRPr="00BA6466" w:rsidRDefault="001B73F6" w:rsidP="00965AD5">
            <w:pPr>
              <w:spacing w:after="0"/>
              <w:contextualSpacing/>
              <w:rPr>
                <w:i/>
              </w:rPr>
            </w:pPr>
            <w:r w:rsidRPr="00BA6466">
              <w:rPr>
                <w:i/>
              </w:rPr>
              <w:t xml:space="preserve">For SRS configuration supporting codebook-based UL transmission by a 3TX UE, support Alt1, </w:t>
            </w:r>
          </w:p>
          <w:p w14:paraId="0EB342EC" w14:textId="77777777" w:rsidR="001B73F6" w:rsidRPr="00A6543A" w:rsidRDefault="001B73F6" w:rsidP="00965AD5">
            <w:pPr>
              <w:pStyle w:val="aff6"/>
              <w:numPr>
                <w:ilvl w:val="0"/>
                <w:numId w:val="42"/>
              </w:numPr>
              <w:ind w:firstLineChars="0"/>
              <w:contextualSpacing/>
              <w:rPr>
                <w:rFonts w:ascii="Times New Roman" w:hAnsi="Times New Roman"/>
                <w:i/>
                <w:kern w:val="0"/>
                <w:sz w:val="20"/>
                <w:szCs w:val="20"/>
                <w:lang w:val="en-GB" w:eastAsia="zh-CN"/>
              </w:rPr>
            </w:pPr>
            <w:r w:rsidRPr="00A6543A">
              <w:rPr>
                <w:rFonts w:ascii="Times New Roman" w:hAnsi="Times New Roman"/>
                <w:i/>
                <w:kern w:val="0"/>
                <w:sz w:val="20"/>
                <w:szCs w:val="20"/>
                <w:lang w:val="en-GB" w:eastAsia="zh-CN"/>
              </w:rPr>
              <w:t>Alt1: Support configuration of X 4-port SRS resources in a resource set where one the ports is muted</w:t>
            </w:r>
          </w:p>
          <w:p w14:paraId="0E1B0452" w14:textId="77777777" w:rsidR="001B73F6" w:rsidRPr="00A6543A" w:rsidRDefault="001B73F6" w:rsidP="00965AD5">
            <w:pPr>
              <w:pStyle w:val="aff6"/>
              <w:numPr>
                <w:ilvl w:val="0"/>
                <w:numId w:val="42"/>
              </w:numPr>
              <w:ind w:firstLineChars="0"/>
              <w:contextualSpacing/>
              <w:rPr>
                <w:rFonts w:ascii="Times New Roman" w:hAnsi="Times New Roman"/>
                <w:i/>
                <w:kern w:val="0"/>
                <w:sz w:val="20"/>
                <w:szCs w:val="20"/>
                <w:lang w:val="en-GB" w:eastAsia="zh-CN"/>
              </w:rPr>
            </w:pPr>
            <w:r w:rsidRPr="00A6543A">
              <w:rPr>
                <w:rFonts w:ascii="Times New Roman" w:hAnsi="Times New Roman"/>
                <w:i/>
                <w:kern w:val="0"/>
                <w:sz w:val="20"/>
                <w:szCs w:val="20"/>
                <w:lang w:val="en-GB" w:eastAsia="zh-CN"/>
              </w:rPr>
              <w:t>FFS muting mechanism</w:t>
            </w:r>
          </w:p>
          <w:p w14:paraId="3D817430" w14:textId="77777777" w:rsidR="001B73F6" w:rsidRPr="00BA6466" w:rsidRDefault="001B73F6" w:rsidP="00965AD5">
            <w:pPr>
              <w:spacing w:after="0"/>
              <w:contextualSpacing/>
              <w:rPr>
                <w:bCs/>
                <w:i/>
              </w:rPr>
            </w:pPr>
            <w:proofErr w:type="gramStart"/>
            <w:r w:rsidRPr="00BA6466">
              <w:rPr>
                <w:bCs/>
                <w:i/>
              </w:rPr>
              <w:t>where</w:t>
            </w:r>
            <w:proofErr w:type="gramEnd"/>
            <w:r w:rsidRPr="00BA6466">
              <w:rPr>
                <w:bCs/>
                <w:i/>
              </w:rPr>
              <w:t xml:space="preserve"> X can be up to 2, subject to UE capability.</w:t>
            </w:r>
          </w:p>
          <w:p w14:paraId="2A532A55" w14:textId="77777777" w:rsidR="001B73F6" w:rsidRPr="00DB0C6E" w:rsidRDefault="001B73F6" w:rsidP="00965AD5">
            <w:pPr>
              <w:spacing w:after="0"/>
              <w:contextualSpacing/>
              <w:rPr>
                <w:bCs/>
                <w:highlight w:val="green"/>
              </w:rPr>
            </w:pPr>
            <w:r w:rsidRPr="00DB0C6E">
              <w:rPr>
                <w:bCs/>
                <w:highlight w:val="green"/>
              </w:rPr>
              <w:t>Agreement</w:t>
            </w:r>
          </w:p>
          <w:p w14:paraId="538BD100" w14:textId="77777777" w:rsidR="001B73F6" w:rsidRPr="003F0B05" w:rsidRDefault="001B73F6" w:rsidP="00965AD5">
            <w:pPr>
              <w:spacing w:after="0"/>
              <w:contextualSpacing/>
              <w:jc w:val="both"/>
              <w:rPr>
                <w:i/>
              </w:rPr>
            </w:pPr>
            <w:r w:rsidRPr="003F0B05">
              <w:rPr>
                <w:rFonts w:eastAsia="Malgun Gothic"/>
                <w:i/>
              </w:rPr>
              <w:t>For a 3TX UE, to support 3-port SRS transmission with reusing a 4-port SRS resource,</w:t>
            </w:r>
            <w:r w:rsidRPr="003F0B05">
              <w:rPr>
                <w:i/>
              </w:rPr>
              <w:t xml:space="preserve"> support the following for muting one of the ports of the configured 4-port SRS resource,</w:t>
            </w:r>
          </w:p>
          <w:p w14:paraId="35DDC9D6" w14:textId="77777777" w:rsidR="001B73F6" w:rsidRPr="00A6543A" w:rsidRDefault="001B73F6" w:rsidP="00965AD5">
            <w:pPr>
              <w:pStyle w:val="aff6"/>
              <w:numPr>
                <w:ilvl w:val="0"/>
                <w:numId w:val="42"/>
              </w:numPr>
              <w:ind w:firstLineChars="0"/>
              <w:contextualSpacing/>
              <w:rPr>
                <w:rFonts w:ascii="Times New Roman" w:hAnsi="Times New Roman"/>
                <w:i/>
                <w:kern w:val="0"/>
                <w:sz w:val="20"/>
                <w:szCs w:val="20"/>
                <w:lang w:val="en-GB" w:eastAsia="zh-CN"/>
              </w:rPr>
            </w:pPr>
            <w:r w:rsidRPr="00A6543A">
              <w:rPr>
                <w:rFonts w:ascii="Times New Roman" w:hAnsi="Times New Roman"/>
                <w:i/>
                <w:kern w:val="0"/>
                <w:sz w:val="20"/>
                <w:szCs w:val="20"/>
                <w:lang w:val="en-GB" w:eastAsia="zh-CN"/>
              </w:rPr>
              <w:t>Option 3: Always a same port is muted, e.g., the 4th port</w:t>
            </w:r>
          </w:p>
          <w:p w14:paraId="1894F29B" w14:textId="77777777" w:rsidR="001B73F6" w:rsidRPr="003F0B05" w:rsidRDefault="001B73F6" w:rsidP="00965AD5">
            <w:pPr>
              <w:spacing w:after="0"/>
              <w:contextualSpacing/>
              <w:rPr>
                <w:i/>
                <w:lang w:eastAsia="x-none"/>
              </w:rPr>
            </w:pPr>
          </w:p>
          <w:p w14:paraId="252BF250" w14:textId="77777777" w:rsidR="001B73F6" w:rsidRPr="00DB0C6E" w:rsidRDefault="001B73F6" w:rsidP="00965AD5">
            <w:pPr>
              <w:snapToGrid w:val="0"/>
              <w:rPr>
                <w:bCs/>
                <w:highlight w:val="green"/>
              </w:rPr>
            </w:pPr>
            <w:r w:rsidRPr="00DB0C6E">
              <w:rPr>
                <w:bCs/>
                <w:highlight w:val="green"/>
              </w:rPr>
              <w:t>Agreement</w:t>
            </w:r>
          </w:p>
          <w:p w14:paraId="21FB9DEA" w14:textId="77777777" w:rsidR="001B73F6" w:rsidRPr="003F0B05" w:rsidRDefault="001B73F6" w:rsidP="00965AD5">
            <w:pPr>
              <w:spacing w:after="0"/>
              <w:contextualSpacing/>
              <w:jc w:val="both"/>
              <w:rPr>
                <w:rFonts w:eastAsia="Malgun Gothic"/>
                <w:i/>
              </w:rPr>
            </w:pPr>
            <w:r w:rsidRPr="003F0B05">
              <w:rPr>
                <w:rFonts w:eastAsia="Malgun Gothic"/>
                <w:i/>
              </w:rPr>
              <w:lastRenderedPageBreak/>
              <w:t>For a 3TX UE, to support 3-port SRS transmission with reusing a 4-port SRS resource, UE splits a linear SRS power equally across the 3 unmuted antenna ports of the 4-port SRS resource.</w:t>
            </w:r>
          </w:p>
          <w:p w14:paraId="4CE5CBFC" w14:textId="77777777" w:rsidR="001B73F6" w:rsidRDefault="001B73F6" w:rsidP="00965AD5">
            <w:pPr>
              <w:rPr>
                <w:rFonts w:eastAsiaTheme="minorEastAsia"/>
              </w:rPr>
            </w:pPr>
          </w:p>
          <w:p w14:paraId="26CF624F" w14:textId="77777777" w:rsidR="001B73F6" w:rsidRDefault="001B73F6" w:rsidP="00965AD5">
            <w:pPr>
              <w:rPr>
                <w:rFonts w:eastAsiaTheme="minorEastAsia"/>
                <w:i/>
              </w:rPr>
            </w:pPr>
            <w:r w:rsidRPr="00E24643">
              <w:rPr>
                <w:rFonts w:eastAsiaTheme="minorEastAsia"/>
                <w:i/>
                <w:highlight w:val="yellow"/>
              </w:rPr>
              <w:t>RAN#117</w:t>
            </w:r>
          </w:p>
          <w:p w14:paraId="7CFB296B" w14:textId="77777777" w:rsidR="001B73F6" w:rsidRPr="00C35CC0" w:rsidRDefault="001B73F6" w:rsidP="00965AD5">
            <w:pPr>
              <w:snapToGrid w:val="0"/>
              <w:rPr>
                <w:bCs/>
                <w:highlight w:val="green"/>
              </w:rPr>
            </w:pPr>
            <w:r w:rsidRPr="00C35CC0">
              <w:rPr>
                <w:bCs/>
                <w:highlight w:val="green"/>
              </w:rPr>
              <w:t>Agreement</w:t>
            </w:r>
          </w:p>
          <w:p w14:paraId="4A70DAF7" w14:textId="77777777" w:rsidR="001B73F6" w:rsidRPr="00926987" w:rsidRDefault="001B73F6" w:rsidP="00965AD5">
            <w:pPr>
              <w:pStyle w:val="aff6"/>
              <w:widowControl/>
              <w:numPr>
                <w:ilvl w:val="0"/>
                <w:numId w:val="43"/>
              </w:numPr>
              <w:overflowPunct w:val="0"/>
              <w:autoSpaceDE w:val="0"/>
              <w:autoSpaceDN w:val="0"/>
              <w:adjustRightInd w:val="0"/>
              <w:spacing w:after="180"/>
              <w:ind w:firstLineChars="0"/>
              <w:contextualSpacing/>
              <w:textAlignment w:val="baseline"/>
              <w:rPr>
                <w:rFonts w:ascii="Times New Roman" w:eastAsia="Malgun Gothic" w:hAnsi="Times New Roman"/>
                <w:i/>
                <w:kern w:val="0"/>
                <w:sz w:val="20"/>
                <w:szCs w:val="20"/>
                <w:lang w:val="en-GB" w:eastAsia="zh-CN"/>
              </w:rPr>
            </w:pPr>
            <w:r w:rsidRPr="00926987">
              <w:rPr>
                <w:rFonts w:ascii="Times New Roman" w:eastAsia="Malgun Gothic" w:hAnsi="Times New Roman"/>
                <w:i/>
                <w:kern w:val="0"/>
                <w:sz w:val="20"/>
                <w:szCs w:val="20"/>
                <w:lang w:val="en-GB" w:eastAsia="zh-CN"/>
              </w:rPr>
              <w:t>Update the agreement made in RAN1 #116bis as the following.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05"/>
            </w:tblGrid>
            <w:tr w:rsidR="001B73F6" w:rsidRPr="003D0CA5" w14:paraId="4FF9CA1D" w14:textId="77777777" w:rsidTr="00965AD5">
              <w:trPr>
                <w:jc w:val="center"/>
              </w:trPr>
              <w:tc>
                <w:tcPr>
                  <w:tcW w:w="10170" w:type="dxa"/>
                  <w:tcBorders>
                    <w:top w:val="single" w:sz="4" w:space="0" w:color="auto"/>
                    <w:left w:val="single" w:sz="4" w:space="0" w:color="auto"/>
                    <w:bottom w:val="single" w:sz="4" w:space="0" w:color="auto"/>
                    <w:right w:val="single" w:sz="4" w:space="0" w:color="auto"/>
                  </w:tcBorders>
                  <w:shd w:val="clear" w:color="auto" w:fill="auto"/>
                </w:tcPr>
                <w:p w14:paraId="668D218D" w14:textId="77777777" w:rsidR="001B73F6" w:rsidRPr="003D0CA5" w:rsidRDefault="001B73F6" w:rsidP="00965AD5">
                  <w:pPr>
                    <w:contextualSpacing/>
                    <w:rPr>
                      <w:sz w:val="18"/>
                      <w:szCs w:val="18"/>
                    </w:rPr>
                  </w:pPr>
                  <w:r w:rsidRPr="003D0CA5">
                    <w:rPr>
                      <w:sz w:val="18"/>
                      <w:szCs w:val="18"/>
                      <w:highlight w:val="green"/>
                    </w:rPr>
                    <w:t>Agreement</w:t>
                  </w:r>
                </w:p>
                <w:p w14:paraId="4F4D06AC" w14:textId="77777777" w:rsidR="001B73F6" w:rsidRPr="003D0CA5" w:rsidRDefault="001B73F6" w:rsidP="00965AD5">
                  <w:pPr>
                    <w:contextualSpacing/>
                    <w:rPr>
                      <w:sz w:val="18"/>
                      <w:szCs w:val="18"/>
                    </w:rPr>
                  </w:pPr>
                  <w:r w:rsidRPr="003D0CA5">
                    <w:rPr>
                      <w:sz w:val="18"/>
                      <w:szCs w:val="18"/>
                    </w:rPr>
                    <w:t>For a 3TX UE, to support 3-port SRS transmission with reusing a 4-port SRS resource, support the following for muting one of the ports of the configured 4-port SRS resource,</w:t>
                  </w:r>
                </w:p>
                <w:p w14:paraId="5905D644" w14:textId="77777777" w:rsidR="001B73F6" w:rsidRPr="003D0CA5" w:rsidRDefault="001B73F6" w:rsidP="00965AD5">
                  <w:pPr>
                    <w:contextualSpacing/>
                    <w:rPr>
                      <w:sz w:val="18"/>
                      <w:szCs w:val="18"/>
                    </w:rPr>
                  </w:pPr>
                  <w:r w:rsidRPr="003D0CA5">
                    <w:rPr>
                      <w:sz w:val="18"/>
                      <w:szCs w:val="18"/>
                    </w:rPr>
                    <w:t xml:space="preserve">Option 3: Always a same port is muted, </w:t>
                  </w:r>
                  <w:r w:rsidRPr="003D0CA5">
                    <w:rPr>
                      <w:strike/>
                      <w:sz w:val="18"/>
                      <w:szCs w:val="18"/>
                    </w:rPr>
                    <w:t>e.g.,</w:t>
                  </w:r>
                  <w:r w:rsidRPr="003D0CA5">
                    <w:rPr>
                      <w:sz w:val="18"/>
                      <w:szCs w:val="18"/>
                    </w:rPr>
                    <w:t xml:space="preserve"> </w:t>
                  </w:r>
                  <w:r w:rsidRPr="003D0CA5">
                    <w:rPr>
                      <w:color w:val="FF0000"/>
                      <w:sz w:val="18"/>
                      <w:szCs w:val="18"/>
                    </w:rPr>
                    <w:t>i.e.,</w:t>
                  </w:r>
                  <w:r w:rsidRPr="003D0CA5">
                    <w:rPr>
                      <w:sz w:val="18"/>
                      <w:szCs w:val="18"/>
                    </w:rPr>
                    <w:t xml:space="preserve"> the 4th port</w:t>
                  </w:r>
                </w:p>
              </w:tc>
            </w:tr>
          </w:tbl>
          <w:p w14:paraId="3CCBAB74" w14:textId="77777777" w:rsidR="001B73F6" w:rsidRPr="00256ACB" w:rsidRDefault="001B73F6" w:rsidP="00965AD5">
            <w:pPr>
              <w:rPr>
                <w:rFonts w:eastAsiaTheme="minorEastAsia"/>
              </w:rPr>
            </w:pPr>
          </w:p>
        </w:tc>
      </w:tr>
    </w:tbl>
    <w:p w14:paraId="19B58623" w14:textId="4AAA8336" w:rsidR="0041227C" w:rsidRDefault="00AF4B13" w:rsidP="00025645">
      <w:pPr>
        <w:jc w:val="both"/>
      </w:pPr>
      <w:r>
        <w:lastRenderedPageBreak/>
        <w:t>Thus from RAN4 perspective,</w:t>
      </w:r>
      <w:r w:rsidR="00835249">
        <w:t xml:space="preserve"> we </w:t>
      </w:r>
      <w:r w:rsidR="00F01866">
        <w:t xml:space="preserve">need to </w:t>
      </w:r>
      <w:r w:rsidR="00835249">
        <w:t xml:space="preserve">figure out </w:t>
      </w:r>
      <w:r w:rsidR="0041227C">
        <w:t xml:space="preserve">following aspects during the </w:t>
      </w:r>
      <w:r w:rsidR="00835249">
        <w:t>analysis towards 3Tx</w:t>
      </w:r>
      <w:r w:rsidR="0041227C">
        <w:t>:</w:t>
      </w:r>
    </w:p>
    <w:p w14:paraId="10F1393C" w14:textId="5B396117" w:rsidR="001B73F6" w:rsidRPr="00124545" w:rsidRDefault="00124545" w:rsidP="00124545">
      <w:pPr>
        <w:pStyle w:val="aff6"/>
        <w:numPr>
          <w:ilvl w:val="0"/>
          <w:numId w:val="48"/>
        </w:numPr>
        <w:ind w:firstLineChars="0"/>
        <w:rPr>
          <w:rFonts w:ascii="Times New Roman" w:hAnsi="Times New Roman"/>
          <w:kern w:val="0"/>
          <w:sz w:val="20"/>
          <w:szCs w:val="20"/>
          <w:lang w:val="en-GB" w:eastAsia="zh-CN"/>
        </w:rPr>
      </w:pPr>
      <w:r w:rsidRPr="00124545">
        <w:rPr>
          <w:rFonts w:ascii="Times New Roman" w:hAnsi="Times New Roman"/>
          <w:kern w:val="0"/>
          <w:sz w:val="20"/>
          <w:szCs w:val="20"/>
          <w:lang w:val="en-GB" w:eastAsia="zh-CN"/>
        </w:rPr>
        <w:t>Applicable frequency range and UE form factor</w:t>
      </w:r>
    </w:p>
    <w:p w14:paraId="434E8F90" w14:textId="49ACE796" w:rsidR="00124545" w:rsidRPr="00124545" w:rsidRDefault="00124545" w:rsidP="00124545">
      <w:pPr>
        <w:pStyle w:val="aff6"/>
        <w:numPr>
          <w:ilvl w:val="0"/>
          <w:numId w:val="48"/>
        </w:numPr>
        <w:ind w:firstLineChars="0"/>
        <w:rPr>
          <w:rFonts w:ascii="Times New Roman" w:hAnsi="Times New Roman"/>
          <w:kern w:val="0"/>
          <w:sz w:val="20"/>
          <w:szCs w:val="20"/>
          <w:lang w:val="en-GB" w:eastAsia="zh-CN"/>
        </w:rPr>
      </w:pPr>
      <w:r w:rsidRPr="00124545">
        <w:rPr>
          <w:rFonts w:ascii="Times New Roman" w:hAnsi="Times New Roman"/>
          <w:kern w:val="0"/>
          <w:sz w:val="20"/>
          <w:szCs w:val="20"/>
          <w:lang w:val="en-GB" w:eastAsia="zh-CN"/>
        </w:rPr>
        <w:t>UE architecture – Power class and corresponding PA configuration</w:t>
      </w:r>
    </w:p>
    <w:p w14:paraId="093D2EED" w14:textId="1B80BB80" w:rsidR="00124545" w:rsidRPr="00124545" w:rsidRDefault="00124545" w:rsidP="00124545">
      <w:pPr>
        <w:pStyle w:val="aff6"/>
        <w:numPr>
          <w:ilvl w:val="0"/>
          <w:numId w:val="48"/>
        </w:numPr>
        <w:ind w:firstLineChars="0"/>
        <w:rPr>
          <w:rFonts w:ascii="Times New Roman" w:hAnsi="Times New Roman"/>
          <w:kern w:val="0"/>
          <w:sz w:val="20"/>
          <w:szCs w:val="20"/>
          <w:lang w:val="en-GB" w:eastAsia="zh-CN"/>
        </w:rPr>
      </w:pPr>
      <w:r w:rsidRPr="00124545">
        <w:rPr>
          <w:rFonts w:ascii="Times New Roman" w:hAnsi="Times New Roman"/>
          <w:kern w:val="0"/>
          <w:sz w:val="20"/>
          <w:szCs w:val="20"/>
          <w:lang w:val="en-GB" w:eastAsia="zh-CN"/>
        </w:rPr>
        <w:t>MPR requirement for 3Tx</w:t>
      </w:r>
    </w:p>
    <w:p w14:paraId="6A3E10B6" w14:textId="77777777" w:rsidR="00025645" w:rsidRPr="00D83F6B" w:rsidRDefault="00025645" w:rsidP="0026664C">
      <w:pPr>
        <w:pStyle w:val="2"/>
        <w:numPr>
          <w:ilvl w:val="0"/>
          <w:numId w:val="0"/>
        </w:numPr>
        <w:spacing w:after="240"/>
        <w:rPr>
          <w:b/>
          <w:i/>
          <w:sz w:val="22"/>
          <w:u w:val="single"/>
        </w:rPr>
      </w:pPr>
      <w:r w:rsidRPr="00D83F6B">
        <w:rPr>
          <w:b/>
          <w:i/>
          <w:sz w:val="22"/>
          <w:u w:val="single"/>
        </w:rPr>
        <w:t>Frequency range</w:t>
      </w:r>
    </w:p>
    <w:p w14:paraId="10A2DE1B" w14:textId="5F3CDAEE" w:rsidR="00730960" w:rsidRDefault="00730960" w:rsidP="0026664C">
      <w:pPr>
        <w:jc w:val="both"/>
      </w:pPr>
      <w:r>
        <w:t xml:space="preserve">We think it would be straightforward that </w:t>
      </w:r>
      <w:r w:rsidR="007B76E7">
        <w:t xml:space="preserve">Rel-19 </w:t>
      </w:r>
      <w:r>
        <w:t>3Tx discussion should be appli</w:t>
      </w:r>
      <w:r w:rsidR="00860059">
        <w:t>cable to</w:t>
      </w:r>
      <w:r>
        <w:t xml:space="preserve"> FR1, mostly due to </w:t>
      </w:r>
      <w:r w:rsidR="007926BB">
        <w:t xml:space="preserve">the fact that Rel-18 3Tx for inter-band UL CA had been studied for FR1 </w:t>
      </w:r>
      <w:r w:rsidR="00F01866">
        <w:t>only</w:t>
      </w:r>
      <w:r w:rsidR="00817D21">
        <w:t>,</w:t>
      </w:r>
      <w:r w:rsidR="007926BB">
        <w:t xml:space="preserve"> </w:t>
      </w:r>
      <w:r w:rsidR="00817D21">
        <w:t>a</w:t>
      </w:r>
      <w:r w:rsidR="007926BB">
        <w:t xml:space="preserve">lso because of </w:t>
      </w:r>
      <w:r>
        <w:t xml:space="preserve">the </w:t>
      </w:r>
      <w:r w:rsidR="00E46DF7">
        <w:t>unambiguous correspondence between “Tx” and physical antenna</w:t>
      </w:r>
      <w:r>
        <w:t xml:space="preserve"> </w:t>
      </w:r>
      <w:r w:rsidR="00E46DF7">
        <w:t>port, upon which RF requirements for 2Tx and 4Tx have been specified respectively.</w:t>
      </w:r>
      <w:r w:rsidR="006C55A2">
        <w:t xml:space="preserve"> </w:t>
      </w:r>
    </w:p>
    <w:p w14:paraId="19906725" w14:textId="5F03A11B" w:rsidR="0026664C" w:rsidRDefault="00E46DF7" w:rsidP="0026664C">
      <w:pPr>
        <w:jc w:val="both"/>
      </w:pPr>
      <w:r>
        <w:t xml:space="preserve">As for FR2, </w:t>
      </w:r>
      <w:r w:rsidR="00D035DE">
        <w:t>two</w:t>
      </w:r>
      <w:r w:rsidR="00600260">
        <w:t xml:space="preserve"> simultaneously activated joint/UL TCI states were assumed</w:t>
      </w:r>
      <w:r w:rsidR="007B76E7">
        <w:t xml:space="preserve"> </w:t>
      </w:r>
      <w:r w:rsidR="009324BE">
        <w:t>during</w:t>
      </w:r>
      <w:r w:rsidR="007B76E7">
        <w:t xml:space="preserve"> Rel-18 STxMP</w:t>
      </w:r>
      <w:r w:rsidR="009324BE">
        <w:t xml:space="preserve"> discussion. </w:t>
      </w:r>
      <w:r w:rsidR="004107CB">
        <w:t>More related to physical implementation</w:t>
      </w:r>
      <w:r w:rsidR="009324BE">
        <w:t>, the UE</w:t>
      </w:r>
      <w:r w:rsidR="00600260">
        <w:t xml:space="preserve"> is assumed to be</w:t>
      </w:r>
      <w:r w:rsidR="009324BE">
        <w:t xml:space="preserve"> equipped with two panels (dual polarization directions per panel) and activated simultaneously</w:t>
      </w:r>
      <w:r w:rsidR="00600260">
        <w:t xml:space="preserve"> </w:t>
      </w:r>
      <w:r w:rsidR="004107CB">
        <w:t>during</w:t>
      </w:r>
      <w:r w:rsidR="00600260">
        <w:t xml:space="preserve"> </w:t>
      </w:r>
      <w:proofErr w:type="spellStart"/>
      <w:r w:rsidR="00600260">
        <w:t>MultiRx</w:t>
      </w:r>
      <w:proofErr w:type="spellEnd"/>
      <w:r w:rsidR="00600260">
        <w:t xml:space="preserve"> discussion.</w:t>
      </w:r>
      <w:r w:rsidR="006C55A2">
        <w:t xml:space="preserve"> Since it has never been </w:t>
      </w:r>
      <w:r w:rsidR="00860059">
        <w:t>determined</w:t>
      </w:r>
      <w:r w:rsidR="006C55A2">
        <w:t xml:space="preserve"> whether “Tx” can be assumed as panel </w:t>
      </w:r>
      <w:r w:rsidR="00600260">
        <w:t>o</w:t>
      </w:r>
      <w:r w:rsidR="006C55A2">
        <w:t>r polarization direction</w:t>
      </w:r>
      <w:r w:rsidR="00860059">
        <w:t xml:space="preserve"> for FR2</w:t>
      </w:r>
      <w:r w:rsidR="006C55A2">
        <w:t>, we think FR2 can be precluded from 3Tx discussion here, not to mention that the demands and applicable scenarios for</w:t>
      </w:r>
      <w:r w:rsidR="00860059">
        <w:t xml:space="preserve"> even more</w:t>
      </w:r>
      <w:r w:rsidR="006C55A2">
        <w:t xml:space="preserve"> panel</w:t>
      </w:r>
      <w:r w:rsidR="00860059">
        <w:t>s</w:t>
      </w:r>
      <w:r w:rsidR="006C55A2">
        <w:t xml:space="preserve"> is unclear for FR2.    </w:t>
      </w:r>
      <w:r w:rsidR="00745A1F">
        <w:t xml:space="preserve"> </w:t>
      </w:r>
    </w:p>
    <w:p w14:paraId="27269498" w14:textId="6C5EA762" w:rsidR="00E96FFB" w:rsidRPr="00407ADA" w:rsidRDefault="006C55A2" w:rsidP="0026664C">
      <w:pPr>
        <w:jc w:val="both"/>
      </w:pPr>
      <w:r>
        <w:rPr>
          <w:b/>
          <w:i/>
        </w:rPr>
        <w:t xml:space="preserve">Proposal 1: </w:t>
      </w:r>
      <w:r w:rsidR="006D49BD">
        <w:rPr>
          <w:b/>
          <w:i/>
        </w:rPr>
        <w:t xml:space="preserve">For frequency range, suggest to clarify the RAN4 3Tx discussion scope under Rel-19 </w:t>
      </w:r>
      <w:r w:rsidR="006D49BD" w:rsidRPr="006C55A2">
        <w:rPr>
          <w:b/>
          <w:i/>
        </w:rPr>
        <w:t>NR_MIMO_Ph5</w:t>
      </w:r>
      <w:r w:rsidR="006D49BD">
        <w:rPr>
          <w:b/>
          <w:i/>
        </w:rPr>
        <w:t xml:space="preserve"> WI as FR1 only</w:t>
      </w:r>
      <w:r>
        <w:rPr>
          <w:b/>
          <w:i/>
        </w:rPr>
        <w:t xml:space="preserve">. </w:t>
      </w:r>
    </w:p>
    <w:p w14:paraId="5DA5A377" w14:textId="4D135A7F" w:rsidR="00E96FFB" w:rsidRPr="00D83F6B" w:rsidRDefault="00E96FFB" w:rsidP="00E96FFB">
      <w:pPr>
        <w:pStyle w:val="2"/>
        <w:numPr>
          <w:ilvl w:val="0"/>
          <w:numId w:val="0"/>
        </w:numPr>
        <w:spacing w:after="240"/>
        <w:rPr>
          <w:b/>
          <w:i/>
          <w:sz w:val="22"/>
          <w:u w:val="single"/>
        </w:rPr>
      </w:pPr>
      <w:r w:rsidRPr="00D83F6B">
        <w:rPr>
          <w:b/>
          <w:i/>
          <w:sz w:val="22"/>
          <w:u w:val="single"/>
        </w:rPr>
        <w:t>UE form factor</w:t>
      </w:r>
    </w:p>
    <w:p w14:paraId="43505A12" w14:textId="2B9260E6" w:rsidR="008F7F32" w:rsidRDefault="001E4EBE" w:rsidP="008575B1">
      <w:pPr>
        <w:jc w:val="both"/>
      </w:pPr>
      <w:r>
        <w:t xml:space="preserve">In Rel-18, 3Tx discussion was </w:t>
      </w:r>
      <w:r w:rsidR="004F55E5">
        <w:t>dedicated for</w:t>
      </w:r>
      <w:r>
        <w:t xml:space="preserve"> non-handheld UE. We</w:t>
      </w:r>
      <w:r w:rsidR="00347309">
        <w:t xml:space="preserve"> believe this is a </w:t>
      </w:r>
      <w:r w:rsidR="00F01866">
        <w:t>reasonable</w:t>
      </w:r>
      <w:r>
        <w:t xml:space="preserve"> </w:t>
      </w:r>
      <w:r w:rsidR="004F55E5">
        <w:t>limitation</w:t>
      </w:r>
      <w:r w:rsidR="00347309">
        <w:t xml:space="preserve"> because non-handhe</w:t>
      </w:r>
      <w:r w:rsidR="004F55E5">
        <w:t xml:space="preserve">ld UE would </w:t>
      </w:r>
      <w:r w:rsidR="0054166D">
        <w:t>ac</w:t>
      </w:r>
      <w:r w:rsidR="004F55E5">
        <w:t>quire</w:t>
      </w:r>
      <w:r w:rsidR="00073676">
        <w:t xml:space="preserve"> more space </w:t>
      </w:r>
      <w:r w:rsidR="00A357C9">
        <w:t xml:space="preserve">comparing to handheld UE in a way </w:t>
      </w:r>
      <w:r w:rsidR="00073676">
        <w:t xml:space="preserve">to handle 3Tx for single band </w:t>
      </w:r>
      <w:r w:rsidR="0054166D">
        <w:t>and/</w:t>
      </w:r>
      <w:r w:rsidR="00073676">
        <w:t>or CA/DC</w:t>
      </w:r>
      <w:r w:rsidR="00073676" w:rsidRPr="00073676">
        <w:t xml:space="preserve"> </w:t>
      </w:r>
      <w:r w:rsidR="0054166D">
        <w:t>operation. To better extent, concern on heat dissipation and power consumption</w:t>
      </w:r>
      <w:r w:rsidR="003040D5">
        <w:t xml:space="preserve"> c</w:t>
      </w:r>
      <w:r w:rsidR="0054166D">
        <w:t>ould be alleviated. Thus s</w:t>
      </w:r>
      <w:r w:rsidR="008F7F32">
        <w:t>imilar approach</w:t>
      </w:r>
      <w:r w:rsidR="007C3FFD">
        <w:t xml:space="preserve"> as above can be considered</w:t>
      </w:r>
      <w:r w:rsidR="008F7F32">
        <w:t>, which is to follow</w:t>
      </w:r>
      <w:r w:rsidR="007C3FFD">
        <w:t xml:space="preserve"> Rel-18</w:t>
      </w:r>
      <w:r w:rsidR="007926BB">
        <w:t xml:space="preserve"> 3Tx scope and focus on non-handheld UE types</w:t>
      </w:r>
      <w:r w:rsidR="006D49BD">
        <w:t xml:space="preserve"> for Rel-19 discussion.</w:t>
      </w:r>
      <w:r w:rsidR="007926BB">
        <w:t xml:space="preserve"> </w:t>
      </w:r>
      <w:r w:rsidR="008F7F32">
        <w:t xml:space="preserve"> </w:t>
      </w:r>
    </w:p>
    <w:p w14:paraId="1D7CF4AC" w14:textId="5EB2FEE4" w:rsidR="006D49BD" w:rsidRPr="00407ADA" w:rsidRDefault="006D49BD" w:rsidP="006D49BD">
      <w:pPr>
        <w:jc w:val="both"/>
      </w:pPr>
      <w:r>
        <w:rPr>
          <w:b/>
          <w:i/>
        </w:rPr>
        <w:t xml:space="preserve">Proposal 2: For UE form factor, suggest to clarify the RAN4 3Tx discussion scope under Rel-19 </w:t>
      </w:r>
      <w:r w:rsidRPr="006C55A2">
        <w:rPr>
          <w:b/>
          <w:i/>
        </w:rPr>
        <w:t>NR_MIMO_Ph5</w:t>
      </w:r>
      <w:r>
        <w:rPr>
          <w:b/>
          <w:i/>
        </w:rPr>
        <w:t xml:space="preserve"> WI as non-handheld UE only. </w:t>
      </w:r>
    </w:p>
    <w:p w14:paraId="5073A76D" w14:textId="4A5473A3" w:rsidR="0041029B" w:rsidRPr="00D83F6B" w:rsidRDefault="0041029B" w:rsidP="0041029B">
      <w:pPr>
        <w:pStyle w:val="2"/>
        <w:numPr>
          <w:ilvl w:val="0"/>
          <w:numId w:val="0"/>
        </w:numPr>
        <w:spacing w:after="240"/>
        <w:rPr>
          <w:b/>
          <w:i/>
          <w:sz w:val="22"/>
          <w:u w:val="single"/>
        </w:rPr>
      </w:pPr>
      <w:r w:rsidRPr="0041029B">
        <w:rPr>
          <w:b/>
          <w:i/>
          <w:sz w:val="22"/>
          <w:u w:val="single"/>
        </w:rPr>
        <w:t>Power class</w:t>
      </w:r>
      <w:r w:rsidR="00FD6721">
        <w:rPr>
          <w:b/>
          <w:i/>
          <w:sz w:val="22"/>
          <w:u w:val="single"/>
        </w:rPr>
        <w:t xml:space="preserve">, </w:t>
      </w:r>
      <w:r w:rsidRPr="0041029B">
        <w:rPr>
          <w:b/>
          <w:i/>
          <w:sz w:val="22"/>
          <w:u w:val="single"/>
        </w:rPr>
        <w:t>PA configuration</w:t>
      </w:r>
      <w:r w:rsidR="00FD6721">
        <w:rPr>
          <w:b/>
          <w:i/>
          <w:sz w:val="22"/>
          <w:u w:val="single"/>
        </w:rPr>
        <w:t xml:space="preserve"> and MPR</w:t>
      </w:r>
    </w:p>
    <w:p w14:paraId="4DA38E6D" w14:textId="77777777" w:rsidR="00F01866" w:rsidRDefault="00F01866" w:rsidP="00F01866">
      <w:pPr>
        <w:jc w:val="both"/>
      </w:pPr>
      <w:r>
        <w:t>In terms of power class, it is notably that only PC1.5 associated requirements were specified for 4Tx. As this is natural considering how adequate the RF resource is for a 4Tx UE (so it would be less attractive to consider lower power class), we prefer to only focus on PC1.5 for 3Tx as well.</w:t>
      </w:r>
    </w:p>
    <w:p w14:paraId="19C170B0" w14:textId="169BD806" w:rsidR="00F01866" w:rsidRDefault="00F01866" w:rsidP="00F01866">
      <w:pPr>
        <w:jc w:val="both"/>
      </w:pPr>
      <w:r w:rsidRPr="00F01866">
        <w:rPr>
          <w:b/>
          <w:i/>
        </w:rPr>
        <w:t>Proposal 3: For the power class targeting 3Tx UE, suggest to clarify the RAN4 3Tx discussion scope under Rel-19 NR_MIMO_Ph5 WI as PC1.5 only.</w:t>
      </w:r>
    </w:p>
    <w:p w14:paraId="73BB0B49" w14:textId="02FB593F" w:rsidR="00F01866" w:rsidRDefault="00F01866" w:rsidP="00F01866">
      <w:pPr>
        <w:jc w:val="both"/>
      </w:pPr>
      <w:r w:rsidRPr="00F01866">
        <w:t>Hence the corresponding PA configuration can be listed as in the below table, while the optional support of full power mode 0, note that other modes have been precluded by RAN1, cannot be indicated for PC1.5 by any of the listed PA configurations in the below table.</w:t>
      </w:r>
    </w:p>
    <w:tbl>
      <w:tblPr>
        <w:tblStyle w:val="af8"/>
        <w:tblW w:w="0" w:type="auto"/>
        <w:jc w:val="center"/>
        <w:tblLook w:val="04A0" w:firstRow="1" w:lastRow="0" w:firstColumn="1" w:lastColumn="0" w:noHBand="0" w:noVBand="1"/>
      </w:tblPr>
      <w:tblGrid>
        <w:gridCol w:w="1230"/>
        <w:gridCol w:w="3210"/>
        <w:gridCol w:w="3211"/>
      </w:tblGrid>
      <w:tr w:rsidR="00F01866" w14:paraId="2927B545" w14:textId="77777777" w:rsidTr="00641658">
        <w:trPr>
          <w:jc w:val="center"/>
        </w:trPr>
        <w:tc>
          <w:tcPr>
            <w:tcW w:w="1230" w:type="dxa"/>
            <w:vAlign w:val="center"/>
          </w:tcPr>
          <w:p w14:paraId="1703099F" w14:textId="77777777" w:rsidR="00F01866" w:rsidRPr="00C424A6" w:rsidRDefault="00F01866" w:rsidP="00641658">
            <w:pPr>
              <w:spacing w:after="0"/>
              <w:jc w:val="center"/>
              <w:rPr>
                <w:b/>
              </w:rPr>
            </w:pPr>
            <w:r w:rsidRPr="00C424A6">
              <w:rPr>
                <w:b/>
              </w:rPr>
              <w:t>Power class</w:t>
            </w:r>
          </w:p>
        </w:tc>
        <w:tc>
          <w:tcPr>
            <w:tcW w:w="3210" w:type="dxa"/>
            <w:vAlign w:val="center"/>
          </w:tcPr>
          <w:p w14:paraId="6A94C9D6" w14:textId="77777777" w:rsidR="00F01866" w:rsidRPr="00C424A6" w:rsidRDefault="00F01866" w:rsidP="00641658">
            <w:pPr>
              <w:spacing w:after="0"/>
              <w:jc w:val="center"/>
              <w:rPr>
                <w:b/>
              </w:rPr>
            </w:pPr>
            <w:r w:rsidRPr="00C424A6">
              <w:rPr>
                <w:b/>
              </w:rPr>
              <w:t>PA configuration (with Mode 0)</w:t>
            </w:r>
          </w:p>
        </w:tc>
        <w:tc>
          <w:tcPr>
            <w:tcW w:w="3211" w:type="dxa"/>
            <w:vAlign w:val="center"/>
          </w:tcPr>
          <w:p w14:paraId="691015F8" w14:textId="77777777" w:rsidR="00F01866" w:rsidRPr="00C424A6" w:rsidRDefault="00F01866" w:rsidP="00641658">
            <w:pPr>
              <w:spacing w:after="0"/>
              <w:jc w:val="center"/>
              <w:rPr>
                <w:b/>
              </w:rPr>
            </w:pPr>
            <w:r w:rsidRPr="00C424A6">
              <w:rPr>
                <w:b/>
              </w:rPr>
              <w:t>PA configuration (w/o Mode 0)</w:t>
            </w:r>
          </w:p>
        </w:tc>
      </w:tr>
      <w:tr w:rsidR="00F01866" w14:paraId="590A4419" w14:textId="77777777" w:rsidTr="00641658">
        <w:trPr>
          <w:jc w:val="center"/>
        </w:trPr>
        <w:tc>
          <w:tcPr>
            <w:tcW w:w="1230" w:type="dxa"/>
            <w:vAlign w:val="center"/>
          </w:tcPr>
          <w:p w14:paraId="7E5D1BDA" w14:textId="77777777" w:rsidR="00F01866" w:rsidRDefault="00F01866" w:rsidP="00641658">
            <w:pPr>
              <w:spacing w:after="0"/>
              <w:jc w:val="center"/>
            </w:pPr>
            <w:r>
              <w:t>PC1.5</w:t>
            </w:r>
          </w:p>
        </w:tc>
        <w:tc>
          <w:tcPr>
            <w:tcW w:w="3210" w:type="dxa"/>
            <w:vAlign w:val="center"/>
          </w:tcPr>
          <w:p w14:paraId="55027F6B" w14:textId="77777777" w:rsidR="00F01866" w:rsidRDefault="00F01866" w:rsidP="00641658">
            <w:pPr>
              <w:spacing w:after="0"/>
              <w:jc w:val="center"/>
            </w:pPr>
            <w:r w:rsidRPr="007D3D09">
              <w:t>N/A</w:t>
            </w:r>
          </w:p>
        </w:tc>
        <w:tc>
          <w:tcPr>
            <w:tcW w:w="3211" w:type="dxa"/>
            <w:vAlign w:val="center"/>
          </w:tcPr>
          <w:p w14:paraId="5BDF0436" w14:textId="77777777" w:rsidR="00F01866" w:rsidRPr="007D3D09" w:rsidRDefault="00F01866" w:rsidP="00641658">
            <w:pPr>
              <w:pStyle w:val="afd"/>
              <w:spacing w:before="0" w:beforeAutospacing="0" w:after="0" w:afterAutospacing="0"/>
              <w:jc w:val="center"/>
              <w:rPr>
                <w:rFonts w:eastAsia="宋体"/>
                <w:sz w:val="20"/>
                <w:szCs w:val="20"/>
                <w:lang w:eastAsia="zh-CN"/>
              </w:rPr>
            </w:pPr>
            <w:r w:rsidRPr="007D3D09">
              <w:rPr>
                <w:rFonts w:eastAsia="宋体"/>
                <w:sz w:val="20"/>
                <w:szCs w:val="20"/>
                <w:lang w:eastAsia="zh-CN"/>
              </w:rPr>
              <w:t>3x26dBm</w:t>
            </w:r>
          </w:p>
          <w:p w14:paraId="15B16B61" w14:textId="77777777" w:rsidR="00F01866" w:rsidRPr="007D3D09" w:rsidRDefault="00F01866" w:rsidP="00641658">
            <w:pPr>
              <w:pStyle w:val="afd"/>
              <w:spacing w:before="0" w:beforeAutospacing="0" w:after="0" w:afterAutospacing="0"/>
              <w:jc w:val="center"/>
              <w:rPr>
                <w:rFonts w:eastAsia="宋体"/>
                <w:sz w:val="20"/>
                <w:szCs w:val="20"/>
                <w:lang w:eastAsia="zh-CN"/>
              </w:rPr>
            </w:pPr>
            <w:r w:rsidRPr="007D3D09">
              <w:rPr>
                <w:rFonts w:eastAsia="宋体"/>
                <w:sz w:val="20"/>
                <w:szCs w:val="20"/>
                <w:lang w:eastAsia="zh-CN"/>
              </w:rPr>
              <w:t>23dBm+2x26dBm</w:t>
            </w:r>
          </w:p>
          <w:p w14:paraId="527120F5" w14:textId="77777777" w:rsidR="00F01866" w:rsidRDefault="00F01866" w:rsidP="00641658">
            <w:pPr>
              <w:spacing w:after="0"/>
              <w:jc w:val="center"/>
            </w:pPr>
            <w:r w:rsidRPr="007D3D09">
              <w:t>2x23dBm+26dBm</w:t>
            </w:r>
          </w:p>
        </w:tc>
      </w:tr>
    </w:tbl>
    <w:p w14:paraId="2E8F9340" w14:textId="77777777" w:rsidR="00F01866" w:rsidRDefault="00F01866" w:rsidP="00F01866">
      <w:pPr>
        <w:jc w:val="both"/>
      </w:pPr>
    </w:p>
    <w:p w14:paraId="3B0CF3CD" w14:textId="77777777" w:rsidR="00F01866" w:rsidRDefault="00F01866" w:rsidP="00F01866">
      <w:pPr>
        <w:jc w:val="both"/>
      </w:pPr>
      <w:r>
        <w:lastRenderedPageBreak/>
        <w:t xml:space="preserve">Regarding MPR requirement for 3Tx, we think it is reasonable to reuse 4Tx PC1.5 MPR requirement rather than the one defined for 2Tx due to the poor antenna isolation that could be introduced by the increased </w:t>
      </w:r>
      <w:proofErr w:type="gramStart"/>
      <w:r>
        <w:t>Tx</w:t>
      </w:r>
      <w:proofErr w:type="gramEnd"/>
      <w:r>
        <w:t xml:space="preserve"> number. Whether the set defined in Table 6.2D.2-4 or Table 6.2D.2-5 is selected could be further studied.   </w:t>
      </w:r>
    </w:p>
    <w:p w14:paraId="6C934D65" w14:textId="7AF1DEEE" w:rsidR="00025645" w:rsidRPr="008575B1" w:rsidRDefault="00F01866" w:rsidP="00F01866">
      <w:pPr>
        <w:jc w:val="both"/>
        <w:rPr>
          <w:b/>
          <w:i/>
        </w:rPr>
      </w:pPr>
      <w:r w:rsidRPr="00F01866">
        <w:rPr>
          <w:b/>
          <w:i/>
        </w:rPr>
        <w:t>Proposal 4: Reuse 4Tx PC1.5 MPR for 3Tx PC1.5 MPR requirement. FFS whether the one defined in TS 38.101-1 Table 6.2D.2-4 or Table 6.2D.2-5 can be selected.</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5A6108A8"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65790">
        <w:t>RF requirements for Rel-19 NR MIMO</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r w:rsidRPr="00671A68">
        <w:rPr>
          <w:rFonts w:hint="eastAsia"/>
          <w:b/>
          <w:i/>
          <w:lang w:val="en-US"/>
        </w:rPr>
        <w:t xml:space="preserve"> </w:t>
      </w:r>
    </w:p>
    <w:p w14:paraId="2E55AE8C" w14:textId="35F203C5" w:rsidR="00E65790" w:rsidRPr="00407ADA" w:rsidRDefault="00F01866" w:rsidP="00E65790">
      <w:pPr>
        <w:jc w:val="both"/>
      </w:pPr>
      <w:r>
        <w:rPr>
          <w:b/>
          <w:i/>
        </w:rPr>
        <w:t xml:space="preserve">Proposal 1: For frequency range, suggest to clarify the RAN4 3Tx discussion scope under Rel-19 </w:t>
      </w:r>
      <w:r w:rsidRPr="006C55A2">
        <w:rPr>
          <w:b/>
          <w:i/>
        </w:rPr>
        <w:t>NR_MIMO_Ph5</w:t>
      </w:r>
      <w:r>
        <w:rPr>
          <w:b/>
          <w:i/>
        </w:rPr>
        <w:t xml:space="preserve"> WI as FR1 only</w:t>
      </w:r>
      <w:r w:rsidR="00E65790">
        <w:rPr>
          <w:b/>
          <w:i/>
        </w:rPr>
        <w:t xml:space="preserve">. </w:t>
      </w:r>
    </w:p>
    <w:p w14:paraId="6E102471" w14:textId="47B7E3ED" w:rsidR="00E65790" w:rsidRPr="00407ADA" w:rsidRDefault="00E65790" w:rsidP="00E65790">
      <w:pPr>
        <w:jc w:val="both"/>
      </w:pPr>
      <w:r>
        <w:rPr>
          <w:b/>
          <w:i/>
        </w:rPr>
        <w:t xml:space="preserve">Proposal 2: </w:t>
      </w:r>
      <w:r w:rsidR="00F01866">
        <w:rPr>
          <w:b/>
          <w:i/>
        </w:rPr>
        <w:t xml:space="preserve">For UE form factor, suggest to clarify the RAN4 3Tx discussion scope under Rel-19 </w:t>
      </w:r>
      <w:r w:rsidR="00F01866" w:rsidRPr="006C55A2">
        <w:rPr>
          <w:b/>
          <w:i/>
        </w:rPr>
        <w:t>NR_MIMO_Ph5</w:t>
      </w:r>
      <w:r w:rsidR="00F01866">
        <w:rPr>
          <w:b/>
          <w:i/>
        </w:rPr>
        <w:t xml:space="preserve"> WI as non-handheld UE only</w:t>
      </w:r>
      <w:r>
        <w:rPr>
          <w:b/>
          <w:i/>
        </w:rPr>
        <w:t xml:space="preserve">. </w:t>
      </w:r>
    </w:p>
    <w:p w14:paraId="15F03A8A" w14:textId="0A4350DD" w:rsidR="00E65790" w:rsidRDefault="00E65790" w:rsidP="00E65790">
      <w:pPr>
        <w:jc w:val="both"/>
        <w:rPr>
          <w:b/>
          <w:i/>
        </w:rPr>
      </w:pPr>
      <w:r>
        <w:rPr>
          <w:b/>
          <w:i/>
        </w:rPr>
        <w:t xml:space="preserve">Proposal 3: </w:t>
      </w:r>
      <w:r w:rsidR="00F01866" w:rsidRPr="00F01866">
        <w:rPr>
          <w:b/>
          <w:i/>
        </w:rPr>
        <w:t>For the power class targeting 3Tx UE, suggest to clarify the RAN4 3Tx discussion scope under Rel-19 NR_MIMO_Ph5 WI as PC1.5 only</w:t>
      </w:r>
      <w:r>
        <w:rPr>
          <w:b/>
          <w:i/>
        </w:rPr>
        <w:t>.</w:t>
      </w:r>
    </w:p>
    <w:p w14:paraId="439C7BF9" w14:textId="2A39D6D4" w:rsidR="00E65790" w:rsidRPr="00E65790" w:rsidRDefault="00E65790" w:rsidP="00F01866">
      <w:pPr>
        <w:jc w:val="both"/>
        <w:rPr>
          <w:b/>
          <w:i/>
        </w:rPr>
      </w:pPr>
      <w:r>
        <w:rPr>
          <w:b/>
          <w:i/>
        </w:rPr>
        <w:t xml:space="preserve">Proposal 4: </w:t>
      </w:r>
      <w:r w:rsidR="00F01866" w:rsidRPr="00F01866">
        <w:rPr>
          <w:b/>
          <w:i/>
        </w:rPr>
        <w:t>Reuse 4Tx PC1.5 MPR for 3Tx PC1.5 MPR requirement. FFS whether the one defined in TS 38.101-1 Table 6.2D.2-4 or Table 6.2D.2-5 can be selected</w:t>
      </w:r>
      <w:r w:rsidR="00F01866">
        <w:rPr>
          <w:b/>
          <w:i/>
        </w:rPr>
        <w:t>.</w:t>
      </w:r>
    </w:p>
    <w:p w14:paraId="5BA5CC12" w14:textId="71AE872A" w:rsidR="007F52CF" w:rsidRPr="0057546E" w:rsidRDefault="007F52CF"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72CA0578" w14:textId="2028A9A4" w:rsidR="008965B4" w:rsidRDefault="008965B4" w:rsidP="005E0491">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RP-240087, “</w:t>
      </w:r>
      <w:r w:rsidRPr="008965B4">
        <w:t>WID revision: NR MIMO Phase 5</w:t>
      </w:r>
      <w:r>
        <w:rPr>
          <w:lang w:val="it-IT" w:eastAsia="ja-JP"/>
        </w:rPr>
        <w:t xml:space="preserve">”, Samsung, </w:t>
      </w:r>
      <w:r w:rsidR="00CF1F58">
        <w:rPr>
          <w:lang w:val="it-IT" w:eastAsia="ja-JP"/>
        </w:rPr>
        <w:t xml:space="preserve">3GPP TSG RAN Meeting #104, </w:t>
      </w:r>
      <w:r w:rsidR="00CF1F58" w:rsidRPr="00CF1F58">
        <w:rPr>
          <w:lang w:val="it-IT" w:eastAsia="ja-JP"/>
        </w:rPr>
        <w:t>Maastricht, Netherlands, March 18-21, 2024.</w:t>
      </w:r>
    </w:p>
    <w:p w14:paraId="14421828" w14:textId="69300500" w:rsidR="007627CB" w:rsidRPr="00CF4C65" w:rsidRDefault="001D423A" w:rsidP="007627CB">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R1-24017</w:t>
      </w:r>
      <w:r w:rsidR="003D6E07">
        <w:rPr>
          <w:lang w:val="it-IT" w:eastAsia="ja-JP"/>
        </w:rPr>
        <w:t>9</w:t>
      </w:r>
      <w:r>
        <w:rPr>
          <w:lang w:val="it-IT" w:eastAsia="ja-JP"/>
        </w:rPr>
        <w:t xml:space="preserve">8, </w:t>
      </w:r>
      <w:r w:rsidRPr="003D6E07">
        <w:t>“</w:t>
      </w:r>
      <w:r w:rsidR="003D6E07" w:rsidRPr="003D6E07">
        <w:t>FL Summary Support for 3TX CB-based Uplink; Third Round</w:t>
      </w:r>
      <w:r w:rsidRPr="003D6E07">
        <w:t>”</w:t>
      </w:r>
      <w:r w:rsidR="003D6E07">
        <w:t>, Moderator (</w:t>
      </w:r>
      <w:proofErr w:type="spellStart"/>
      <w:r w:rsidR="003D6E07">
        <w:t>InterDigital</w:t>
      </w:r>
      <w:proofErr w:type="spellEnd"/>
      <w:r w:rsidR="003D6E07">
        <w:t xml:space="preserve">), </w:t>
      </w:r>
      <w:r w:rsidR="007627CB" w:rsidRPr="001D14BB">
        <w:t>3GPP TSG-RAN</w:t>
      </w:r>
      <w:r w:rsidR="007627CB">
        <w:t>1</w:t>
      </w:r>
      <w:r w:rsidR="007627CB" w:rsidRPr="001D14BB">
        <w:t xml:space="preserve"> Meeting #1</w:t>
      </w:r>
      <w:r w:rsidR="007627CB">
        <w:t>16</w:t>
      </w:r>
      <w:r w:rsidR="007627CB" w:rsidRPr="001D14BB">
        <w:t xml:space="preserve">, </w:t>
      </w:r>
      <w:r w:rsidR="007627CB">
        <w:t>Athens</w:t>
      </w:r>
      <w:r w:rsidR="007627CB" w:rsidRPr="001D14BB">
        <w:t xml:space="preserve">, </w:t>
      </w:r>
      <w:r w:rsidR="007627CB">
        <w:t>Greece,</w:t>
      </w:r>
      <w:r w:rsidR="007627CB" w:rsidRPr="001D14BB">
        <w:t xml:space="preserve"> </w:t>
      </w:r>
      <w:r w:rsidR="007627CB">
        <w:t>February</w:t>
      </w:r>
      <w:r w:rsidR="007627CB" w:rsidRPr="001D14BB">
        <w:t xml:space="preserve"> </w:t>
      </w:r>
      <w:r w:rsidR="007627CB">
        <w:t>26-March 1</w:t>
      </w:r>
      <w:r w:rsidR="007627CB" w:rsidRPr="001D14BB">
        <w:t>, 2024</w:t>
      </w:r>
      <w:r w:rsidR="007627CB">
        <w:t>.</w:t>
      </w:r>
    </w:p>
    <w:p w14:paraId="337E6A2B" w14:textId="1AC816AE" w:rsidR="008965B4" w:rsidRDefault="00A52094" w:rsidP="005E0491">
      <w:pPr>
        <w:numPr>
          <w:ilvl w:val="0"/>
          <w:numId w:val="10"/>
        </w:numPr>
        <w:tabs>
          <w:tab w:val="clear" w:pos="720"/>
          <w:tab w:val="num" w:pos="426"/>
        </w:tabs>
        <w:overflowPunct/>
        <w:autoSpaceDE/>
        <w:autoSpaceDN/>
        <w:adjustRightInd/>
        <w:ind w:left="426" w:hanging="426"/>
        <w:jc w:val="both"/>
        <w:textAlignment w:val="auto"/>
      </w:pPr>
      <w:r>
        <w:rPr>
          <w:lang w:val="it-IT" w:eastAsia="ja-JP"/>
        </w:rPr>
        <w:t>R1-2402085</w:t>
      </w:r>
      <w:r>
        <w:rPr>
          <w:rFonts w:hint="eastAsia"/>
          <w:lang w:val="it-IT"/>
        </w:rPr>
        <w:t>,</w:t>
      </w:r>
      <w:r>
        <w:rPr>
          <w:lang w:val="it-IT"/>
        </w:rPr>
        <w:t xml:space="preserve"> “</w:t>
      </w:r>
      <w:r w:rsidR="0002208E" w:rsidRPr="003D6E07">
        <w:t xml:space="preserve">FL Summary Support for 3TX CB-based Uplink; </w:t>
      </w:r>
      <w:r w:rsidR="0002208E">
        <w:t>Second</w:t>
      </w:r>
      <w:r w:rsidR="0002208E" w:rsidRPr="003D6E07">
        <w:t xml:space="preserve"> Round”</w:t>
      </w:r>
      <w:r w:rsidR="0002208E">
        <w:t>, Moderator (</w:t>
      </w:r>
      <w:proofErr w:type="spellStart"/>
      <w:r w:rsidR="0002208E">
        <w:t>InterDigital</w:t>
      </w:r>
      <w:proofErr w:type="spellEnd"/>
      <w:r w:rsidR="0002208E">
        <w:t xml:space="preserve">), </w:t>
      </w:r>
      <w:r w:rsidR="0002208E" w:rsidRPr="001D14BB">
        <w:t>3GPP TSG-RAN</w:t>
      </w:r>
      <w:r w:rsidR="0002208E">
        <w:t>1</w:t>
      </w:r>
      <w:r w:rsidR="0002208E" w:rsidRPr="001D14BB">
        <w:t xml:space="preserve"> Meeting #1</w:t>
      </w:r>
      <w:r w:rsidR="0002208E">
        <w:t>16bis</w:t>
      </w:r>
      <w:r w:rsidR="0002208E" w:rsidRPr="001D14BB">
        <w:t xml:space="preserve">, </w:t>
      </w:r>
      <w:r w:rsidR="0002208E">
        <w:t>Changsha</w:t>
      </w:r>
      <w:r w:rsidR="0002208E" w:rsidRPr="001D14BB">
        <w:t xml:space="preserve">, </w:t>
      </w:r>
      <w:r w:rsidR="0002208E">
        <w:t>China,</w:t>
      </w:r>
      <w:r w:rsidR="0002208E" w:rsidRPr="001D14BB">
        <w:t xml:space="preserve"> </w:t>
      </w:r>
      <w:r w:rsidR="0002208E">
        <w:t>April</w:t>
      </w:r>
      <w:r w:rsidR="0002208E" w:rsidRPr="001D14BB">
        <w:t xml:space="preserve"> </w:t>
      </w:r>
      <w:r w:rsidR="0002208E">
        <w:t>15-19</w:t>
      </w:r>
      <w:r w:rsidR="0002208E" w:rsidRPr="001D14BB">
        <w:t>, 2024</w:t>
      </w:r>
      <w:r w:rsidR="0002208E">
        <w:t>.</w:t>
      </w:r>
    </w:p>
    <w:p w14:paraId="3602560E" w14:textId="6600EDE1" w:rsidR="00826F59" w:rsidRPr="003D6E07" w:rsidRDefault="00826F59" w:rsidP="005E0491">
      <w:pPr>
        <w:numPr>
          <w:ilvl w:val="0"/>
          <w:numId w:val="10"/>
        </w:numPr>
        <w:tabs>
          <w:tab w:val="clear" w:pos="720"/>
          <w:tab w:val="num" w:pos="426"/>
        </w:tabs>
        <w:overflowPunct/>
        <w:autoSpaceDE/>
        <w:autoSpaceDN/>
        <w:adjustRightInd/>
        <w:ind w:left="426" w:hanging="426"/>
        <w:jc w:val="both"/>
        <w:textAlignment w:val="auto"/>
      </w:pPr>
      <w:r>
        <w:t>R</w:t>
      </w:r>
      <w:r>
        <w:rPr>
          <w:lang w:val="it-IT" w:eastAsia="ja-JP"/>
        </w:rPr>
        <w:t>1-2403851</w:t>
      </w:r>
      <w:r>
        <w:rPr>
          <w:rFonts w:hint="eastAsia"/>
          <w:lang w:val="it-IT"/>
        </w:rPr>
        <w:t>,</w:t>
      </w:r>
      <w:r>
        <w:rPr>
          <w:lang w:val="it-IT"/>
        </w:rPr>
        <w:t xml:space="preserve"> “</w:t>
      </w:r>
      <w:r w:rsidRPr="003D6E07">
        <w:t xml:space="preserve">FL Summary Support for 3TX CB-based Uplink; </w:t>
      </w:r>
      <w:r>
        <w:t>First</w:t>
      </w:r>
      <w:r w:rsidRPr="003D6E07">
        <w:t xml:space="preserve"> Round”</w:t>
      </w:r>
      <w:r>
        <w:t>, Moderator (</w:t>
      </w:r>
      <w:proofErr w:type="spellStart"/>
      <w:r>
        <w:t>InterDigital</w:t>
      </w:r>
      <w:proofErr w:type="spellEnd"/>
      <w:r>
        <w:t xml:space="preserve">), </w:t>
      </w:r>
      <w:r w:rsidRPr="001D14BB">
        <w:t>3GPP TSG-RAN</w:t>
      </w:r>
      <w:r>
        <w:t>1</w:t>
      </w:r>
      <w:r w:rsidRPr="001D14BB">
        <w:t xml:space="preserve"> Meeting #1</w:t>
      </w:r>
      <w:r>
        <w:t>17</w:t>
      </w:r>
      <w:r w:rsidRPr="001D14BB">
        <w:t xml:space="preserve">, </w:t>
      </w:r>
      <w:r>
        <w:t>Fukuoka</w:t>
      </w:r>
      <w:r w:rsidRPr="001D14BB">
        <w:t xml:space="preserve">, </w:t>
      </w:r>
      <w:r>
        <w:t>Japan,</w:t>
      </w:r>
      <w:r w:rsidRPr="001D14BB">
        <w:t xml:space="preserve"> </w:t>
      </w:r>
      <w:r>
        <w:t>May</w:t>
      </w:r>
      <w:r w:rsidRPr="001D14BB">
        <w:t xml:space="preserve"> </w:t>
      </w:r>
      <w:r>
        <w:t>20-24</w:t>
      </w:r>
      <w:r w:rsidRPr="001D14BB">
        <w:t>, 2024</w:t>
      </w:r>
      <w:r>
        <w:t>.</w:t>
      </w:r>
    </w:p>
    <w:p w14:paraId="002BFEF5" w14:textId="3D681EED" w:rsidR="00CF4C65" w:rsidRPr="00CF4C65" w:rsidRDefault="00CF4C65" w:rsidP="0028597C">
      <w:pPr>
        <w:overflowPunct/>
        <w:autoSpaceDE/>
        <w:autoSpaceDN/>
        <w:adjustRightInd/>
        <w:ind w:left="426"/>
        <w:jc w:val="both"/>
        <w:textAlignment w:val="auto"/>
        <w:rPr>
          <w:lang w:val="it-IT" w:eastAsia="ja-JP"/>
        </w:rPr>
      </w:pPr>
    </w:p>
    <w:p w14:paraId="169C776E" w14:textId="13BBB1AA" w:rsidR="0067071C" w:rsidRPr="00CF4C65" w:rsidRDefault="008969D7" w:rsidP="008965B4">
      <w:pPr>
        <w:overflowPunct/>
        <w:autoSpaceDE/>
        <w:autoSpaceDN/>
        <w:adjustRightInd/>
        <w:jc w:val="both"/>
        <w:textAlignment w:val="auto"/>
        <w:rPr>
          <w:lang w:val="it-IT" w:eastAsia="ja-JP"/>
        </w:rPr>
      </w:pPr>
      <w:r>
        <w:t xml:space="preserve">                                                                                                              </w:t>
      </w:r>
      <w:r w:rsidR="00796C4E">
        <w:t xml:space="preserve">                               </w:t>
      </w:r>
    </w:p>
    <w:sectPr w:rsidR="0067071C" w:rsidRPr="00CF4C65"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F1240" w14:textId="77777777" w:rsidR="005657C5" w:rsidRDefault="005657C5" w:rsidP="0052762B">
      <w:r>
        <w:separator/>
      </w:r>
    </w:p>
  </w:endnote>
  <w:endnote w:type="continuationSeparator" w:id="0">
    <w:p w14:paraId="75207103" w14:textId="77777777" w:rsidR="005657C5" w:rsidRDefault="005657C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Times New Roman"/>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F0118" w14:textId="77777777" w:rsidR="005657C5" w:rsidRDefault="005657C5" w:rsidP="0052762B">
      <w:r>
        <w:separator/>
      </w:r>
    </w:p>
  </w:footnote>
  <w:footnote w:type="continuationSeparator" w:id="0">
    <w:p w14:paraId="3AFA856F" w14:textId="77777777" w:rsidR="005657C5" w:rsidRDefault="005657C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971DFF"/>
    <w:multiLevelType w:val="hybridMultilevel"/>
    <w:tmpl w:val="E2022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C27FDA"/>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4"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5B6568FB"/>
    <w:multiLevelType w:val="hybridMultilevel"/>
    <w:tmpl w:val="DC66F7F2"/>
    <w:lvl w:ilvl="0" w:tplc="41502510">
      <w:start w:val="1"/>
      <w:numFmt w:val="bullet"/>
      <w:lvlText w:val=""/>
      <w:lvlJc w:val="left"/>
      <w:pPr>
        <w:ind w:left="560" w:hanging="360"/>
      </w:pPr>
      <w:rPr>
        <w:rFonts w:ascii="Wingdings" w:hAnsi="Wingdings"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6893CD6"/>
    <w:multiLevelType w:val="hybridMultilevel"/>
    <w:tmpl w:val="62C24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22"/>
  </w:num>
  <w:num w:numId="4">
    <w:abstractNumId w:val="41"/>
  </w:num>
  <w:num w:numId="5">
    <w:abstractNumId w:val="40"/>
  </w:num>
  <w:num w:numId="6">
    <w:abstractNumId w:val="16"/>
  </w:num>
  <w:num w:numId="7">
    <w:abstractNumId w:val="31"/>
  </w:num>
  <w:num w:numId="8">
    <w:abstractNumId w:val="48"/>
  </w:num>
  <w:num w:numId="9">
    <w:abstractNumId w:val="14"/>
  </w:num>
  <w:num w:numId="10">
    <w:abstractNumId w:val="44"/>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9"/>
  </w:num>
  <w:num w:numId="14">
    <w:abstractNumId w:val="32"/>
  </w:num>
  <w:num w:numId="15">
    <w:abstractNumId w:val="4"/>
  </w:num>
  <w:num w:numId="16">
    <w:abstractNumId w:val="20"/>
  </w:num>
  <w:num w:numId="17">
    <w:abstractNumId w:val="15"/>
  </w:num>
  <w:num w:numId="18">
    <w:abstractNumId w:val="6"/>
  </w:num>
  <w:num w:numId="19">
    <w:abstractNumId w:val="3"/>
  </w:num>
  <w:num w:numId="20">
    <w:abstractNumId w:val="10"/>
  </w:num>
  <w:num w:numId="21">
    <w:abstractNumId w:val="24"/>
  </w:num>
  <w:num w:numId="22">
    <w:abstractNumId w:val="5"/>
  </w:num>
  <w:num w:numId="23">
    <w:abstractNumId w:val="27"/>
  </w:num>
  <w:num w:numId="24">
    <w:abstractNumId w:val="28"/>
  </w:num>
  <w:num w:numId="25">
    <w:abstractNumId w:val="38"/>
  </w:num>
  <w:num w:numId="26">
    <w:abstractNumId w:val="12"/>
  </w:num>
  <w:num w:numId="27">
    <w:abstractNumId w:val="21"/>
  </w:num>
  <w:num w:numId="28">
    <w:abstractNumId w:val="17"/>
  </w:num>
  <w:num w:numId="29">
    <w:abstractNumId w:val="7"/>
  </w:num>
  <w:num w:numId="30">
    <w:abstractNumId w:val="47"/>
  </w:num>
  <w:num w:numId="31">
    <w:abstractNumId w:val="8"/>
  </w:num>
  <w:num w:numId="32">
    <w:abstractNumId w:val="33"/>
  </w:num>
  <w:num w:numId="33">
    <w:abstractNumId w:val="34"/>
  </w:num>
  <w:num w:numId="34">
    <w:abstractNumId w:val="36"/>
  </w:num>
  <w:num w:numId="35">
    <w:abstractNumId w:val="42"/>
  </w:num>
  <w:num w:numId="36">
    <w:abstractNumId w:val="0"/>
  </w:num>
  <w:num w:numId="37">
    <w:abstractNumId w:val="23"/>
  </w:num>
  <w:num w:numId="38">
    <w:abstractNumId w:val="35"/>
  </w:num>
  <w:num w:numId="39">
    <w:abstractNumId w:val="13"/>
  </w:num>
  <w:num w:numId="40">
    <w:abstractNumId w:val="2"/>
  </w:num>
  <w:num w:numId="41">
    <w:abstractNumId w:val="43"/>
  </w:num>
  <w:num w:numId="42">
    <w:abstractNumId w:val="25"/>
  </w:num>
  <w:num w:numId="43">
    <w:abstractNumId w:val="11"/>
  </w:num>
  <w:num w:numId="44">
    <w:abstractNumId w:val="39"/>
  </w:num>
  <w:num w:numId="45">
    <w:abstractNumId w:val="46"/>
  </w:num>
  <w:num w:numId="46">
    <w:abstractNumId w:val="26"/>
  </w:num>
  <w:num w:numId="47">
    <w:abstractNumId w:val="37"/>
  </w:num>
  <w:num w:numId="48">
    <w:abstractNumId w:val="45"/>
  </w:num>
  <w:num w:numId="4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8E"/>
    <w:rsid w:val="000220CE"/>
    <w:rsid w:val="000220E2"/>
    <w:rsid w:val="000221FB"/>
    <w:rsid w:val="0002225D"/>
    <w:rsid w:val="000226AB"/>
    <w:rsid w:val="00022D48"/>
    <w:rsid w:val="00022FCE"/>
    <w:rsid w:val="000238BF"/>
    <w:rsid w:val="00023F5A"/>
    <w:rsid w:val="0002475A"/>
    <w:rsid w:val="00024B66"/>
    <w:rsid w:val="00024EBF"/>
    <w:rsid w:val="00025645"/>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BD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676"/>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7B"/>
    <w:rsid w:val="000923CF"/>
    <w:rsid w:val="0009333B"/>
    <w:rsid w:val="000947DE"/>
    <w:rsid w:val="00094940"/>
    <w:rsid w:val="00094AE2"/>
    <w:rsid w:val="00094DD8"/>
    <w:rsid w:val="0009544E"/>
    <w:rsid w:val="000956CA"/>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31C"/>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6A2"/>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545"/>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061C"/>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0C9"/>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A0"/>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B73F6"/>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23A"/>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BE"/>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FBB"/>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2B45"/>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ACB"/>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64C"/>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7C"/>
    <w:rsid w:val="00286207"/>
    <w:rsid w:val="00286371"/>
    <w:rsid w:val="002863D5"/>
    <w:rsid w:val="00286658"/>
    <w:rsid w:val="0028694F"/>
    <w:rsid w:val="00286ED4"/>
    <w:rsid w:val="00286F8B"/>
    <w:rsid w:val="00287FE0"/>
    <w:rsid w:val="002900F8"/>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4DCF"/>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0D5"/>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3FF"/>
    <w:rsid w:val="00342F84"/>
    <w:rsid w:val="003435B3"/>
    <w:rsid w:val="003442B0"/>
    <w:rsid w:val="00344673"/>
    <w:rsid w:val="003446BA"/>
    <w:rsid w:val="00345721"/>
    <w:rsid w:val="00345751"/>
    <w:rsid w:val="00345BD2"/>
    <w:rsid w:val="00345E5B"/>
    <w:rsid w:val="0034618E"/>
    <w:rsid w:val="003465C1"/>
    <w:rsid w:val="00347309"/>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6E07"/>
    <w:rsid w:val="003D71CE"/>
    <w:rsid w:val="003D7401"/>
    <w:rsid w:val="003D744A"/>
    <w:rsid w:val="003E01AA"/>
    <w:rsid w:val="003E10AF"/>
    <w:rsid w:val="003E115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ADA"/>
    <w:rsid w:val="00407F56"/>
    <w:rsid w:val="0041029B"/>
    <w:rsid w:val="004107CB"/>
    <w:rsid w:val="00410ABC"/>
    <w:rsid w:val="00410B0A"/>
    <w:rsid w:val="0041187A"/>
    <w:rsid w:val="00411B32"/>
    <w:rsid w:val="0041227C"/>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7CB"/>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5E5"/>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66D"/>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465B"/>
    <w:rsid w:val="005657C5"/>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60"/>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904"/>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10B"/>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0D8"/>
    <w:rsid w:val="006C55A2"/>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9BD"/>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960"/>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EF8"/>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A1F"/>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641"/>
    <w:rsid w:val="007605E9"/>
    <w:rsid w:val="00760C9D"/>
    <w:rsid w:val="00760DC5"/>
    <w:rsid w:val="00761449"/>
    <w:rsid w:val="007619AD"/>
    <w:rsid w:val="00761BA6"/>
    <w:rsid w:val="00761CDA"/>
    <w:rsid w:val="00761F36"/>
    <w:rsid w:val="007627CB"/>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69BD"/>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6BB"/>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6E7"/>
    <w:rsid w:val="007B7756"/>
    <w:rsid w:val="007B7A34"/>
    <w:rsid w:val="007C06DB"/>
    <w:rsid w:val="007C103D"/>
    <w:rsid w:val="007C1079"/>
    <w:rsid w:val="007C14EE"/>
    <w:rsid w:val="007C1537"/>
    <w:rsid w:val="007C2D23"/>
    <w:rsid w:val="007C2FEB"/>
    <w:rsid w:val="007C32B1"/>
    <w:rsid w:val="007C3E71"/>
    <w:rsid w:val="007C3F09"/>
    <w:rsid w:val="007C3FFD"/>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3D09"/>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17D21"/>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F5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249"/>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059"/>
    <w:rsid w:val="0086024D"/>
    <w:rsid w:val="0086145A"/>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5B4"/>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651"/>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32"/>
    <w:rsid w:val="008F7F50"/>
    <w:rsid w:val="009008D9"/>
    <w:rsid w:val="00900932"/>
    <w:rsid w:val="00901715"/>
    <w:rsid w:val="00901A00"/>
    <w:rsid w:val="00901D67"/>
    <w:rsid w:val="00902619"/>
    <w:rsid w:val="00902885"/>
    <w:rsid w:val="00902EDF"/>
    <w:rsid w:val="009031F3"/>
    <w:rsid w:val="009033A2"/>
    <w:rsid w:val="009041AD"/>
    <w:rsid w:val="00904F84"/>
    <w:rsid w:val="009051EF"/>
    <w:rsid w:val="00905557"/>
    <w:rsid w:val="00905C08"/>
    <w:rsid w:val="00905EDB"/>
    <w:rsid w:val="00906547"/>
    <w:rsid w:val="00906E43"/>
    <w:rsid w:val="00910625"/>
    <w:rsid w:val="00910695"/>
    <w:rsid w:val="00910C07"/>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987"/>
    <w:rsid w:val="00926A10"/>
    <w:rsid w:val="009271B9"/>
    <w:rsid w:val="00927C62"/>
    <w:rsid w:val="0093032D"/>
    <w:rsid w:val="0093035B"/>
    <w:rsid w:val="0093061F"/>
    <w:rsid w:val="00930A38"/>
    <w:rsid w:val="009317C3"/>
    <w:rsid w:val="009321B4"/>
    <w:rsid w:val="009324BE"/>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667"/>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6E4"/>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51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82E"/>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46C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7C9"/>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094"/>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43A"/>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664"/>
    <w:rsid w:val="00A92AAF"/>
    <w:rsid w:val="00A92D2C"/>
    <w:rsid w:val="00A9304C"/>
    <w:rsid w:val="00A93E96"/>
    <w:rsid w:val="00A9447D"/>
    <w:rsid w:val="00A945C5"/>
    <w:rsid w:val="00A947C1"/>
    <w:rsid w:val="00A9546A"/>
    <w:rsid w:val="00A9633D"/>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6F85"/>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0FDC"/>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B13"/>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5BC5"/>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878"/>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03A"/>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4A6"/>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ADA"/>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4F"/>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232"/>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2D8"/>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1F58"/>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5DE"/>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A00"/>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3F6B"/>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C6E"/>
    <w:rsid w:val="00DB0F09"/>
    <w:rsid w:val="00DB1120"/>
    <w:rsid w:val="00DB1352"/>
    <w:rsid w:val="00DB216D"/>
    <w:rsid w:val="00DB228B"/>
    <w:rsid w:val="00DB235B"/>
    <w:rsid w:val="00DB242E"/>
    <w:rsid w:val="00DB2DD2"/>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7BC"/>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006"/>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643"/>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1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6DF7"/>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790"/>
    <w:rsid w:val="00E65BF1"/>
    <w:rsid w:val="00E66CA3"/>
    <w:rsid w:val="00E66DB7"/>
    <w:rsid w:val="00E66F50"/>
    <w:rsid w:val="00E674B6"/>
    <w:rsid w:val="00E67AAF"/>
    <w:rsid w:val="00E67BBE"/>
    <w:rsid w:val="00E67C87"/>
    <w:rsid w:val="00E7135A"/>
    <w:rsid w:val="00E71519"/>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FFB"/>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618"/>
    <w:rsid w:val="00EC1AAF"/>
    <w:rsid w:val="00EC21BB"/>
    <w:rsid w:val="00EC28D1"/>
    <w:rsid w:val="00EC363B"/>
    <w:rsid w:val="00EC3F40"/>
    <w:rsid w:val="00EC3FEB"/>
    <w:rsid w:val="00EC4171"/>
    <w:rsid w:val="00EC444E"/>
    <w:rsid w:val="00EC488F"/>
    <w:rsid w:val="00EC48E5"/>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1866"/>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7BF"/>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3A82"/>
    <w:rsid w:val="00F34156"/>
    <w:rsid w:val="00F341B8"/>
    <w:rsid w:val="00F34A6C"/>
    <w:rsid w:val="00F34B44"/>
    <w:rsid w:val="00F35702"/>
    <w:rsid w:val="00F360C1"/>
    <w:rsid w:val="00F363C3"/>
    <w:rsid w:val="00F363F3"/>
    <w:rsid w:val="00F36769"/>
    <w:rsid w:val="00F36CB5"/>
    <w:rsid w:val="00F36EA7"/>
    <w:rsid w:val="00F36EC9"/>
    <w:rsid w:val="00F36FC2"/>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AF0"/>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DED"/>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3E0"/>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721"/>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2A04D-949D-4A6F-ADAE-175BF7F7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9137</TotalTime>
  <Pages>4</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9966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147</cp:revision>
  <cp:lastPrinted>2010-01-07T02:23:00Z</cp:lastPrinted>
  <dcterms:created xsi:type="dcterms:W3CDTF">2024-04-07T12:55:00Z</dcterms:created>
  <dcterms:modified xsi:type="dcterms:W3CDTF">2024-08-09T11:38:00Z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(3)4ftDQ/uVKtAwESKXKmJEBLNE+DcQRapmhdt/rbSrh2rvPsG4u0FB8ClXsYz408C425XNgrJV
aXJ1cODgeeoXjk9XmDh/ghWUTNDTvwSfpy/3m/ntUaoRUn1wOue+j3sJ9S3txx1B+Y70yueY
CUSuJNKTzhHv9hRvkQJs4JoPyhZ+4o1sLhCD3r7PrdaQYr6lFClGDNkVwtaLvJc17dZReo6q
FoFxuTiC2cP/YAZ1rj</vt:lpwstr>
  </property>
  <property fmtid="{D5CDD505-2E9C-101B-9397-08002B2CF9AE}" pid="15" name="_2015_ms_pID_725343_00">
    <vt:lpwstr>_2015_ms_pID_725343</vt:lpwstr>
  </property>
  <property fmtid="{D5CDD505-2E9C-101B-9397-08002B2CF9AE}" pid="16" name="_2015_ms_pID_7253431">
    <vt:lpwstr>0htGEzO+N+kyc1p8uLLg8g8QilG55EGgGURCX4pzeLrQSsS9b1/8rl
LBc1yf5T7uNTq3ulW4mcUwnWCQpjeQcfnA4iG69Mr6rADdWsZP38R7/DbqQpe8cO/cLs99vh
ZEpr/72m/bWT/1UZYu3svg0XVgOPAqK7fLvkQhrkgw3SJhfPIiWZ8WPZl1b7EhSD1NN7lzts
681/7Ayf6blypztIYcR5XGbNnQUEL4LUKuXD</vt:lpwstr>
  </property>
  <property fmtid="{D5CDD505-2E9C-101B-9397-08002B2CF9AE}" pid="17" name="_2015_ms_pID_7253431_00">
    <vt:lpwstr>_2015_ms_pID_7253431</vt:lpwstr>
  </property>
  <property fmtid="{D5CDD505-2E9C-101B-9397-08002B2CF9AE}" pid="18" name="_2015_ms_pID_7253432">
    <vt:lpwstr>bEafHSjyOBRN9f4T8YuGHa+9tAwBF7FUv+Ga
OeRa/3ruHMFfj9UQrTSxNPaFmip/mfasildNNEyOyefsyqxxdiM=</vt:lpwstr>
  </property>
  <property fmtid="{D5CDD505-2E9C-101B-9397-08002B2CF9AE}" pid="19" name="KeyAssetLabel_HuaWei">
    <vt:lpwstr>{4ftDQ/uVKtAwESKXKmJEBLNE+DcQRa}</vt:lpwstr>
  </property>
  <property fmtid="{D5CDD505-2E9C-101B-9397-08002B2CF9AE}" pid="20" name="_862901variable_0907_groupIDlong_2010">
    <vt:lpwstr>(1)5t01nj5SmGKMrs93ABt6q4pnZsiVoTXov4+9gRzypT3PqeMiKXYwIOsMXjVNmtWNP0SiDt6a
D6j8wocche58sfyQKe/qBJbTiLvc2pD8IHpIHk3BDCJ7TMxCdynyE8oeOv4bSJ6Ykvpj/bST
0ZiyG10xdZsd7UOo3ntk12jlDF0=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1721803561</vt:lpwstr>
  </property>
</Properties>
</file>